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3"/>
        <w:jc w:val="right"/>
        <w:keepLines/>
        <w:keepNext/>
        <w:rPr>
          <w:sz w:val="26"/>
          <w:szCs w:val="26"/>
        </w:rPr>
      </w:pPr>
      <w:r>
        <w:rPr>
          <w:sz w:val="22"/>
          <w:szCs w:val="22"/>
        </w:rPr>
        <w:t xml:space="preserve">Приложение №1 к Документации о закупке</w:t>
      </w:r>
      <w:r>
        <w:rPr>
          <w:sz w:val="22"/>
          <w:szCs w:val="22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выполнение работ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23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23"/>
        <w:ind w:left="-108" w:right="-108"/>
        <w:jc w:val="center"/>
        <w:spacing w:before="60" w:after="60" w:line="240" w:lineRule="auto"/>
        <w:rPr>
          <w:rFonts w:ascii="Times New Roman" w:hAnsi="Times New Roman" w:eastAsia="Times New Roman" w:cs="Times New Roman"/>
          <w:i/>
          <w:iCs/>
          <w:sz w:val="36"/>
          <w:szCs w:val="36"/>
          <w:highlight w:val="yellow"/>
        </w:rPr>
      </w:pPr>
      <w:r>
        <w:rPr>
          <w:rFonts w:eastAsia="Times New Roman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</w:r>
      <w:r>
        <w:rPr>
          <w:rFonts w:eastAsia="Times New Roman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О</w:t>
      </w:r>
      <w:r>
        <w:rPr>
          <w:rFonts w:eastAsia="Times New Roman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</w:r>
      <w:r>
        <w:rPr>
          <w:rFonts w:eastAsia="Times New Roman" w:cs="Times New Roman"/>
          <w:b/>
          <w:bCs/>
          <w:i w:val="0"/>
          <w:iCs w:val="0"/>
          <w:color w:val="000000" w:themeColor="text1"/>
          <w:sz w:val="24"/>
          <w:szCs w:val="24"/>
          <w:lang w:eastAsia="ru-RU"/>
        </w:rPr>
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</w:r>
      <w:r>
        <w:rPr>
          <w:rFonts w:ascii="Times New Roman" w:hAnsi="Times New Roman" w:eastAsia="Times New Roman" w:cs="Times New Roman"/>
          <w:i/>
          <w:iCs/>
          <w:sz w:val="36"/>
          <w:szCs w:val="36"/>
          <w:highlight w:val="yellow"/>
        </w:rPr>
      </w:r>
      <w:r>
        <w:rPr>
          <w:rFonts w:ascii="Times New Roman" w:hAnsi="Times New Roman" w:eastAsia="Times New Roman" w:cs="Times New Roman"/>
          <w:i/>
          <w:iCs/>
          <w:sz w:val="36"/>
          <w:szCs w:val="36"/>
          <w:highlight w:val="yellow"/>
        </w:rPr>
      </w:r>
    </w:p>
    <w:p>
      <w:pPr>
        <w:pStyle w:val="823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23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23"/>
        <w:jc w:val="center"/>
        <w:keepLines/>
        <w:keepNext/>
        <w:rPr>
          <w:rFonts w:eastAsia="Calibri"/>
          <w:b/>
          <w:bCs/>
          <w:i w:val="0"/>
          <w:iCs w:val="0"/>
        </w:rPr>
      </w:pPr>
      <w:r>
        <w:rPr>
          <w:b/>
        </w:rPr>
        <w:t xml:space="preserve">Лот </w:t>
      </w:r>
      <w:r>
        <w:rPr>
          <w:rFonts w:cs="Times New Roman"/>
          <w:b/>
          <w:bCs/>
          <w:i w:val="0"/>
          <w:iCs w:val="0"/>
        </w:rPr>
        <w:t xml:space="preserve">№ </w:t>
      </w:r>
      <w:r>
        <w:rPr>
          <w:rFonts w:cs="Times New Roman"/>
          <w:b/>
          <w:bCs/>
          <w:i w:val="0"/>
          <w:iCs w:val="0"/>
        </w:rPr>
        <w:t xml:space="preserve">21134001-КС ПИР СМР-2026-ДГК-АТС</w:t>
      </w:r>
      <w:r>
        <w:rPr>
          <w:rFonts w:eastAsia="Calibri"/>
          <w:b/>
          <w:bCs/>
          <w:i w:val="0"/>
          <w:iCs w:val="0"/>
        </w:rPr>
      </w:r>
      <w:r>
        <w:rPr>
          <w:rFonts w:eastAsia="Calibri"/>
          <w:b/>
          <w:bCs/>
          <w:i w:val="0"/>
          <w:iCs w:val="0"/>
        </w:rPr>
      </w:r>
    </w:p>
    <w:p>
      <w:pPr>
        <w:pStyle w:val="823"/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pStyle w:val="823"/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rPr>
          <w:sz w:val="26"/>
          <w:szCs w:val="26"/>
        </w:rPr>
      </w:pPr>
      <w:r>
        <w:rPr>
          <w:sz w:val="26"/>
          <w:szCs w:val="26"/>
        </w:rPr>
      </w:r>
      <w: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3"/>
        <w:jc w:val="center"/>
        <w:spacing w:before="0" w:after="0"/>
        <w:rPr>
          <w:b/>
          <w:sz w:val="24"/>
        </w:rPr>
      </w:pPr>
      <w:r>
        <w:rPr>
          <w:b/>
          <w:sz w:val="24"/>
        </w:rPr>
        <w:t xml:space="preserve">СОДЕРЖАНИЕ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23"/>
        <w:jc w:val="center"/>
        <w:rPr>
          <w:rFonts w:cs="Calibri Light" w:cstheme="majorHAnsi"/>
          <w:bCs/>
          <w:i/>
          <w:sz w:val="22"/>
          <w:szCs w:val="22"/>
        </w:rPr>
      </w:pPr>
      <w:r>
        <w:rPr>
          <w:rFonts w:cs="Calibri Light" w:cstheme="majorHAnsi"/>
          <w:bCs/>
          <w:i/>
          <w:sz w:val="22"/>
          <w:szCs w:val="22"/>
        </w:rPr>
      </w:r>
      <w:r>
        <w:rPr>
          <w:rFonts w:cs="Calibri Light" w:cstheme="majorHAnsi"/>
          <w:bCs/>
          <w:i/>
          <w:sz w:val="22"/>
          <w:szCs w:val="22"/>
        </w:rPr>
      </w:r>
      <w:r>
        <w:rPr>
          <w:rFonts w:cs="Calibri Light" w:cstheme="majorHAnsi"/>
          <w:bCs/>
          <w:i/>
          <w:sz w:val="22"/>
          <w:szCs w:val="22"/>
        </w:rPr>
      </w:r>
    </w:p>
    <w:p>
      <w:pPr>
        <w:pStyle w:val="94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Style w:val="1102"/>
        <w:tblW w:w="100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55"/>
        <w:gridCol w:w="8877"/>
        <w:gridCol w:w="45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сведения……………………………………………………………………….....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Обозначения и сокращения……………………………………………………………….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Наименование закупаемой продукции…………………………………………………...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Цель выполнения работ…………………………………………………………………..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1.4.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color w:val="auto"/>
                <w:sz w:val="24"/>
                <w:szCs w:val="24"/>
                <w:u w:val="none"/>
              </w:rPr>
            </w:pPr>
            <w:r>
              <w:rPr>
                <w:rStyle w:val="857"/>
                <w:rFonts w:cs="Times New Roman"/>
                <w:color w:val="auto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Существующее положение</w:t>
            </w:r>
            <w:r>
              <w:rPr>
                <w:color w:val="auto"/>
                <w:sz w:val="24"/>
                <w:szCs w:val="24"/>
                <w:u w:val="none"/>
                <w:lang w:val="ru-RU" w:eastAsia="ru-RU" w:bidi="ar-SA"/>
              </w:rPr>
              <w:t xml:space="preserve">.................................................................................................</w:t>
            </w:r>
            <w:r>
              <w:rPr>
                <w:color w:val="auto"/>
                <w:sz w:val="24"/>
                <w:szCs w:val="24"/>
                <w:u w:val="none"/>
              </w:rPr>
            </w:r>
            <w:r>
              <w:rPr>
                <w:color w:val="auto"/>
                <w:sz w:val="24"/>
                <w:szCs w:val="24"/>
                <w:u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2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1. Перечень объектов заказчика…………………………………………………….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sz w:val="24"/>
                <w:szCs w:val="24"/>
                <w:lang w:val="ru-RU" w:eastAsia="ru-RU" w:bidi="ar-SA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Информация в отношении исполнения договора, которая должна быть учтена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ind w:right="-17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при подготовке заявки (в том числе перечень ресурсов, услуг и документов, предоставляемых заказчиком на этапе исполнения договора)…………………………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2.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продукции……………………………………………………………….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объемам и срокам выполнения работ…………………………………….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видам и объемам работ……………………………………………………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2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2. Перечень и объем выполняемых работ………………………………………….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срокам выполнения работ…………………………………………………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2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 3. Требования по срокам выполнения работ………………………………………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righ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качеству работ……………………………………………………………..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32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Таблица 4. Требования к качеству работ……………………………………………………..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закупки…………….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документации по ценообразованию на этапе заключения (исполнения) договора…………………………………………………………………..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77" w:type="dxa"/>
            <w:textDirection w:val="lrTb"/>
            <w:noWrap w:val="false"/>
          </w:tcPr>
          <w:p>
            <w:pPr>
              <w:pStyle w:val="823"/>
              <w:ind w:right="-170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Приложения……………………………………………………………………………….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18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pStyle w:val="823"/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pStyle w:val="825"/>
        <w:numPr>
          <w:ilvl w:val="0"/>
          <w:numId w:val="0"/>
        </w:numPr>
        <w:ind w:left="0" w:firstLine="0"/>
      </w:pPr>
      <w:r/>
      <w:r/>
    </w:p>
    <w:p>
      <w:pPr>
        <w:pStyle w:val="823"/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24"/>
        <w:numPr>
          <w:ilvl w:val="0"/>
          <w:numId w:val="3"/>
        </w:numPr>
        <w:ind w:left="3969" w:hanging="360"/>
        <w:spacing w:before="0" w:after="60"/>
        <w:rPr>
          <w:sz w:val="24"/>
        </w:rPr>
      </w:pPr>
      <w:r/>
      <w:bookmarkStart w:id="0" w:name="_Toc54646395"/>
      <w:r/>
      <w:bookmarkStart w:id="1" w:name="_Toc51339692"/>
      <w:r>
        <w:rPr>
          <w:sz w:val="24"/>
        </w:rPr>
        <w:t xml:space="preserve">Общие сведения</w:t>
      </w:r>
      <w:bookmarkEnd w:id="0"/>
      <w:r/>
      <w:bookmarkEnd w:id="1"/>
      <w:r>
        <w:rPr>
          <w:sz w:val="24"/>
        </w:rPr>
      </w:r>
      <w:r>
        <w:rPr>
          <w:sz w:val="24"/>
        </w:rPr>
      </w:r>
    </w:p>
    <w:p>
      <w:pPr>
        <w:pStyle w:val="940"/>
        <w:numPr>
          <w:ilvl w:val="1"/>
          <w:numId w:val="9"/>
        </w:numPr>
        <w:rPr>
          <w:b/>
        </w:rPr>
      </w:pPr>
      <w:r>
        <w:rPr>
          <w:b/>
        </w:rPr>
        <w:t xml:space="preserve">Обозначения и сокращения</w:t>
      </w:r>
      <w:r>
        <w:rPr>
          <w:b/>
        </w:rPr>
      </w:r>
      <w:r>
        <w:rPr>
          <w:b/>
        </w:rPr>
      </w:r>
    </w:p>
    <w:p>
      <w:pPr>
        <w:pStyle w:val="940"/>
        <w:ind w:left="420"/>
      </w:pPr>
      <w:r/>
      <w:r/>
    </w:p>
    <w:tbl>
      <w:tblPr>
        <w:tblStyle w:val="1102"/>
        <w:tblW w:w="991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47"/>
        <w:gridCol w:w="7363"/>
      </w:tblGrid>
      <w:tr>
        <w:tblPrEx/>
        <w:trPr>
          <w:trHeight w:val="366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УТ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Тепловой узел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63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ППУ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  <w:lang w:val="ru-RU" w:eastAsia="ru-RU" w:bidi="ar-SA"/>
              </w:rPr>
              <w:t xml:space="preserve">Пенополиуретан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361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ППР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lang w:val="ru-RU" w:eastAsia="ru-RU" w:bidi="ar-SA"/>
              </w:rPr>
              <w:t xml:space="preserve">Проект производства работ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366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СРО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Саморегулируемая организация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ТС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Тепловая сеть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Строительные конструкции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15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СМР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Строительно-монтажные работы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6"/>
        </w:trPr>
        <w:tc>
          <w:tcPr>
            <w:tcW w:w="2547" w:type="dxa"/>
            <w:textDirection w:val="lrTb"/>
            <w:noWrap w:val="false"/>
          </w:tcPr>
          <w:p>
            <w:pPr>
              <w:pStyle w:val="823"/>
              <w:jc w:val="left"/>
              <w:spacing w:before="120" w:after="120"/>
              <w:widowControl w:val="off"/>
              <w:tabs>
                <w:tab w:val="left" w:pos="4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СНиП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7363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Строительные нормы и правила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824"/>
        <w:numPr>
          <w:ilvl w:val="0"/>
          <w:numId w:val="0"/>
        </w:numPr>
        <w:ind w:left="0" w:firstLine="0"/>
        <w:spacing w:before="120" w:after="60"/>
        <w:rPr>
          <w:b/>
          <w:bCs/>
          <w:vanish/>
          <w:sz w:val="20"/>
          <w:szCs w:val="20"/>
        </w:rPr>
        <w:outlineLvl w:val="3"/>
      </w:pPr>
      <w:r>
        <w:rPr>
          <w:b/>
          <w:bCs/>
          <w:vanish/>
          <w:sz w:val="20"/>
          <w:szCs w:val="20"/>
        </w:rPr>
      </w:r>
      <w:r>
        <w:rPr>
          <w:b/>
          <w:bCs/>
          <w:vanish/>
          <w:sz w:val="20"/>
          <w:szCs w:val="20"/>
        </w:rPr>
      </w:r>
      <w:r>
        <w:rPr>
          <w:b/>
          <w:bCs/>
          <w:vanish/>
          <w:sz w:val="20"/>
          <w:szCs w:val="20"/>
        </w:rPr>
      </w:r>
    </w:p>
    <w:p>
      <w:pPr>
        <w:pStyle w:val="827"/>
        <w:numPr>
          <w:ilvl w:val="1"/>
          <w:numId w:val="9"/>
        </w:numPr>
      </w:pPr>
      <w:r>
        <w:t xml:space="preserve">Наименование закупаемой продукции</w:t>
      </w:r>
      <w:r/>
    </w:p>
    <w:p>
      <w:pPr>
        <w:pStyle w:val="823"/>
        <w:ind w:firstLine="0"/>
        <w:jc w:val="both"/>
        <w:rPr>
          <w:rFonts w:ascii="Times New Roman" w:hAnsi="Times New Roman" w:cs="Times New Roman"/>
          <w:bCs w:val="0"/>
          <w:i w:val="0"/>
          <w:sz w:val="28"/>
          <w:szCs w:val="28"/>
        </w:rPr>
      </w:pPr>
      <w:r>
        <w:rPr>
          <w:sz w:val="24"/>
        </w:rPr>
        <w:t xml:space="preserve">        </w:t>
      </w:r>
      <w:r>
        <w:rPr>
          <w:sz w:val="24"/>
        </w:rPr>
        <w:t xml:space="preserve">«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О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  <w:r>
        <w:rPr>
          <w:rFonts w:ascii="Times New Roman" w:hAnsi="Times New Roman" w:cs="Times New Roman"/>
          <w:bCs w:val="0"/>
          <w:i w:val="0"/>
          <w:sz w:val="28"/>
          <w:szCs w:val="28"/>
        </w:rPr>
      </w:r>
    </w:p>
    <w:p>
      <w:pPr>
        <w:pStyle w:val="827"/>
        <w:numPr>
          <w:ilvl w:val="1"/>
          <w:numId w:val="9"/>
        </w:numPr>
      </w:pPr>
      <w:r/>
      <w:bookmarkStart w:id="2" w:name="_Toc54646398"/>
      <w:r/>
      <w:bookmarkStart w:id="3" w:name="_Toc46743507"/>
      <w:r>
        <w:t xml:space="preserve">Цель </w:t>
      </w:r>
      <w:bookmarkEnd w:id="3"/>
      <w:r>
        <w:t xml:space="preserve">выполнения работ </w:t>
      </w:r>
      <w:bookmarkEnd w:id="2"/>
      <w:r/>
      <w:r/>
    </w:p>
    <w:p>
      <w:pPr>
        <w:pStyle w:val="823"/>
        <w:jc w:val="both"/>
        <w:spacing w:before="120" w:after="240" w:line="276" w:lineRule="auto"/>
        <w:widowControl w:val="off"/>
        <w:tabs>
          <w:tab w:val="left" w:pos="426" w:leader="none"/>
          <w:tab w:val="clear" w:pos="708" w:leader="none"/>
        </w:tabs>
        <w:rPr>
          <w:rStyle w:val="885"/>
          <w:b w:val="0"/>
          <w:bCs w:val="0"/>
          <w:sz w:val="22"/>
          <w:szCs w:val="22"/>
          <w:highlight w:val="none"/>
        </w:rPr>
      </w:pPr>
      <w:r>
        <w:rPr>
          <w:sz w:val="24"/>
        </w:rPr>
        <w:tab/>
      </w:r>
      <w:r>
        <w:rPr>
          <w:b w:val="0"/>
          <w:sz w:val="24"/>
          <w:szCs w:val="24"/>
        </w:rPr>
        <w:t xml:space="preserve">Подключение новых потребителей к системе теплоснабжения.</w:t>
      </w:r>
      <w:r>
        <w:rPr>
          <w:rStyle w:val="885"/>
          <w:b w:val="0"/>
          <w:bCs w:val="0"/>
          <w:sz w:val="22"/>
          <w:szCs w:val="22"/>
          <w:highlight w:val="none"/>
        </w:rPr>
      </w:r>
      <w:r>
        <w:rPr>
          <w:rStyle w:val="885"/>
          <w:b w:val="0"/>
          <w:bCs w:val="0"/>
          <w:sz w:val="22"/>
          <w:szCs w:val="22"/>
          <w:highlight w:val="none"/>
        </w:rPr>
      </w:r>
    </w:p>
    <w:p>
      <w:pPr>
        <w:pStyle w:val="827"/>
        <w:numPr>
          <w:ilvl w:val="1"/>
          <w:numId w:val="9"/>
        </w:numPr>
        <w:ind w:left="567" w:hanging="567"/>
      </w:pPr>
      <w:r>
        <w:t xml:space="preserve">Существующее положение </w:t>
      </w:r>
      <w:r/>
    </w:p>
    <w:p>
      <w:pPr>
        <w:pStyle w:val="823"/>
        <w:jc w:val="both"/>
        <w:spacing w:before="120" w:after="240"/>
        <w:widowControl w:val="off"/>
        <w:tabs>
          <w:tab w:val="left" w:pos="426" w:leader="none"/>
          <w:tab w:val="clear" w:pos="708" w:leader="none"/>
        </w:tabs>
        <w:rPr>
          <w:bCs w:val="0"/>
          <w:i w:val="0"/>
          <w:sz w:val="24"/>
          <w:szCs w:val="24"/>
        </w:rPr>
      </w:pPr>
      <w:r>
        <w:rPr>
          <w:rStyle w:val="865"/>
          <w:b w:val="0"/>
        </w:rPr>
        <w:t xml:space="preserve">1.4.1.</w:t>
      </w:r>
      <w:r>
        <w:rPr>
          <w:rStyle w:val="865"/>
        </w:rPr>
        <w:t xml:space="preserve"> </w:t>
      </w:r>
      <w:r>
        <w:rPr>
          <w:i w:val="0"/>
          <w:iCs w:val="0"/>
          <w:highlight w:val="white"/>
        </w:rPr>
        <w:t xml:space="preserve">«</w:t>
      </w:r>
      <w:r>
        <w:rPr>
          <w:i w:val="0"/>
          <w:iCs w:val="0"/>
          <w:sz w:val="24"/>
          <w:szCs w:val="24"/>
          <w:highlight w:val="white"/>
        </w:rPr>
        <w:t xml:space="preserve">Амурские тепловые сети» – структурное подразделение АО</w:t>
      </w:r>
      <w:r>
        <w:rPr>
          <w:i w:val="0"/>
          <w:iCs w:val="0"/>
          <w:sz w:val="24"/>
          <w:szCs w:val="24"/>
          <w:highlight w:val="white"/>
        </w:rPr>
        <w:t xml:space="preserve"> «Дальневосточная генерирующая компания» (АО «ДГК»), входящее в Группу РусГидро, действует на территории г. Благовещенска, Амурской области. Основные виды деятельности – обеспечение стабильного и бесперебойного теплоснабжения населению и юридическим лицам.</w:t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pStyle w:val="824"/>
        <w:numPr>
          <w:ilvl w:val="0"/>
          <w:numId w:val="0"/>
        </w:numPr>
        <w:ind w:left="0" w:firstLine="0"/>
        <w:rPr>
          <w:sz w:val="24"/>
        </w:rPr>
      </w:pPr>
      <w:r/>
      <w:bookmarkStart w:id="4" w:name="_Toc54646400"/>
      <w:r>
        <w:rPr>
          <w:sz w:val="24"/>
        </w:rPr>
        <w:t xml:space="preserve">Таблица 1. Перечень объектов заказчика</w:t>
      </w:r>
      <w:bookmarkEnd w:id="4"/>
      <w:r>
        <w:rPr>
          <w:sz w:val="24"/>
        </w:rPr>
      </w:r>
      <w:r>
        <w:rPr>
          <w:sz w:val="24"/>
        </w:rPr>
      </w:r>
    </w:p>
    <w:tbl>
      <w:tblPr>
        <w:tblW w:w="1006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566"/>
        <w:gridCol w:w="3118"/>
        <w:gridCol w:w="2944"/>
        <w:gridCol w:w="1730"/>
        <w:gridCol w:w="170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4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4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6"/>
              </w:numPr>
              <w:jc w:val="center"/>
            </w:pPr>
            <w:r/>
            <w:r/>
          </w:p>
          <w:p>
            <w:pPr>
              <w:pStyle w:val="823"/>
              <w:jc w:val="center"/>
            </w:pPr>
            <w:r/>
            <w:r/>
          </w:p>
          <w:p>
            <w:pPr>
              <w:pStyle w:val="823"/>
              <w:jc w:val="center"/>
            </w:pPr>
            <w:r/>
            <w:r/>
          </w:p>
          <w:p>
            <w:pPr>
              <w:pStyle w:val="823"/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23"/>
            </w:pPr>
            <w:r>
              <w:rPr>
                <w:sz w:val="24"/>
              </w:rPr>
              <w:t xml:space="preserve">«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      </w:r>
            <w:r>
              <w:rPr>
                <w:rFonts w:eastAsia="Times New Roman"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lang w:eastAsia="ru-RU"/>
              </w:rPr>
      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      </w:r>
            <w:r>
              <w:rPr>
                <w:sz w:val="24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4" w:type="dxa"/>
            <w:textDirection w:val="lrTb"/>
            <w:noWrap w:val="false"/>
          </w:tcPr>
          <w:p>
            <w:pPr>
              <w:pStyle w:val="940"/>
              <w:ind w:left="0" w:firstLine="709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940"/>
              <w:ind w:left="0" w:firstLine="0"/>
              <w:jc w:val="both"/>
              <w:shd w:val="clear" w:color="auto" w:fill="ffffff"/>
              <w:tabs>
                <w:tab w:val="clear" w:pos="708" w:leader="none"/>
                <w:tab w:val="left" w:pos="1134" w:leader="none"/>
              </w:tabs>
              <w:rPr>
                <w:bCs/>
                <w:highlight w:val="white"/>
              </w:rPr>
            </w:pPr>
            <w:r>
              <w:rPr>
                <w:rFonts w:eastAsia="Calibri"/>
                <w:sz w:val="24"/>
                <w:szCs w:val="24"/>
                <w:highlight w:val="white"/>
              </w:rPr>
              <w:t xml:space="preserve">Амурская область,  </w:t>
            </w:r>
            <w:r>
              <w:rPr>
                <w:rFonts w:eastAsia="Calibri"/>
                <w:sz w:val="24"/>
                <w:szCs w:val="24"/>
              </w:rPr>
              <w:t xml:space="preserve">г. Благовещенск, </w:t>
            </w:r>
            <w:r>
              <w:rPr>
                <w:b w:val="0"/>
                <w:bCs w:val="0"/>
                <w:sz w:val="24"/>
              </w:rPr>
              <w:t xml:space="preserve">от проектируемой тепловой камеры на существующей тепловой  сети  ООО «АКС» к зданию по ул. Загородная 10</w:t>
            </w:r>
            <w:r>
              <w:rPr>
                <w:rFonts w:eastAsia="Calibri"/>
                <w:sz w:val="24"/>
                <w:szCs w:val="24"/>
              </w:rPr>
              <w:t xml:space="preserve"> до границы земельного  участка c кадастровым номером </w:t>
            </w:r>
            <w:r>
              <w:rPr>
                <w:rFonts w:eastAsia="Liberation Serif"/>
                <w:b w:val="0"/>
                <w:bCs w:val="0"/>
                <w:sz w:val="24"/>
                <w:szCs w:val="24"/>
              </w:rPr>
              <w:t xml:space="preserve">28:01:130418:67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30" w:type="dxa"/>
            <w:textDirection w:val="lrTb"/>
            <w:noWrap w:val="false"/>
          </w:tcPr>
          <w:p>
            <w:pPr>
              <w:pStyle w:val="823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Эксплуатирующая организация: СП «Амурские тепловые сети»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27"/>
        <w:numPr>
          <w:ilvl w:val="1"/>
          <w:numId w:val="9"/>
        </w:numPr>
        <w:ind w:left="0" w:firstLine="561"/>
        <w:jc w:val="both"/>
        <w:spacing w:line="276" w:lineRule="auto"/>
      </w:pPr>
      <w:r/>
      <w:bookmarkStart w:id="5" w:name="_Toc54646401"/>
      <w:r/>
      <w:bookmarkStart w:id="6" w:name="_Toc46743509"/>
      <w:r/>
      <w:bookmarkStart w:id="7" w:name="_Hlk49857604"/>
      <w:r>
        <w:t xml:space="preserve">Информация в отношении исполнения договора, </w:t>
      </w:r>
      <w:bookmarkStart w:id="8" w:name="_Hlk46492347"/>
      <w:r>
        <w:t xml:space="preserve">которая должна быть учтена при подготовке заявки </w:t>
      </w:r>
      <w:bookmarkEnd w:id="8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5"/>
      <w:r/>
      <w:bookmarkEnd w:id="6"/>
      <w:r/>
      <w:bookmarkEnd w:id="7"/>
      <w:r/>
      <w:r/>
    </w:p>
    <w:p>
      <w:pPr>
        <w:pStyle w:val="827"/>
        <w:numPr>
          <w:ilvl w:val="0"/>
          <w:numId w:val="0"/>
        </w:numPr>
        <w:ind w:left="0"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Заказчик предоставляет Подрядчику схему тепловой сети.</w:t>
      </w:r>
      <w:r>
        <w:rPr>
          <w:b w:val="0"/>
          <w:lang w:val="ru-RU"/>
        </w:rPr>
      </w:r>
      <w:r>
        <w:rPr>
          <w:b w:val="0"/>
          <w:lang w:val="ru-RU"/>
        </w:rPr>
      </w:r>
    </w:p>
    <w:p>
      <w:pPr>
        <w:pStyle w:val="824"/>
        <w:numPr>
          <w:ilvl w:val="0"/>
          <w:numId w:val="3"/>
        </w:numPr>
        <w:ind w:left="3402" w:hanging="360"/>
        <w:rPr>
          <w:caps/>
          <w:sz w:val="24"/>
        </w:rPr>
      </w:pPr>
      <w:r>
        <w:rPr>
          <w:sz w:val="24"/>
        </w:rPr>
        <w:t xml:space="preserve">Требования к продукции</w:t>
      </w:r>
      <w:r>
        <w:rPr>
          <w:caps/>
          <w:sz w:val="24"/>
        </w:rPr>
      </w:r>
      <w:r>
        <w:rPr>
          <w:caps/>
          <w:sz w:val="24"/>
        </w:rPr>
      </w:r>
    </w:p>
    <w:p>
      <w:pPr>
        <w:pStyle w:val="827"/>
        <w:numPr>
          <w:ilvl w:val="0"/>
          <w:numId w:val="0"/>
        </w:numPr>
        <w:ind w:left="0" w:firstLine="0"/>
      </w:pPr>
      <w:r>
        <w:t xml:space="preserve">2.1.     </w:t>
      </w:r>
      <w:bookmarkStart w:id="9" w:name="_Toc54646404"/>
      <w:r>
        <w:t xml:space="preserve">Требования к объемам и срокам выполнения работ</w:t>
      </w:r>
      <w:bookmarkEnd w:id="9"/>
      <w:r/>
      <w:r/>
    </w:p>
    <w:p>
      <w:pPr>
        <w:pStyle w:val="826"/>
        <w:numPr>
          <w:ilvl w:val="0"/>
          <w:numId w:val="0"/>
        </w:numPr>
        <w:ind w:left="0" w:firstLine="0"/>
      </w:pPr>
      <w:r>
        <w:t xml:space="preserve">2.1.1.   </w:t>
      </w:r>
      <w:bookmarkStart w:id="10" w:name="_Toc54646405"/>
      <w:r>
        <w:t xml:space="preserve">Требования к видам и объемам работ</w:t>
      </w:r>
      <w:bookmarkEnd w:id="10"/>
      <w:r/>
      <w:r/>
    </w:p>
    <w:p>
      <w:pPr>
        <w:pStyle w:val="824"/>
        <w:numPr>
          <w:ilvl w:val="0"/>
          <w:numId w:val="0"/>
        </w:numPr>
        <w:ind w:left="0" w:firstLine="0"/>
        <w:rPr>
          <w:sz w:val="24"/>
        </w:rPr>
      </w:pPr>
      <w:r/>
      <w:bookmarkStart w:id="11" w:name="_Toc54646406"/>
      <w:r/>
      <w:bookmarkStart w:id="12" w:name="_Toc51339695"/>
      <w:r>
        <w:rPr>
          <w:sz w:val="24"/>
        </w:rPr>
        <w:t xml:space="preserve">Таблица 2. Перечень </w:t>
      </w:r>
      <w:bookmarkEnd w:id="12"/>
      <w:r>
        <w:rPr>
          <w:sz w:val="24"/>
        </w:rPr>
        <w:t xml:space="preserve">и объем выполняемых работ</w:t>
      </w:r>
      <w:bookmarkEnd w:id="11"/>
      <w:r>
        <w:rPr>
          <w:sz w:val="24"/>
        </w:rPr>
      </w:r>
      <w:r>
        <w:rPr>
          <w:sz w:val="24"/>
        </w:rPr>
      </w:r>
    </w:p>
    <w:tbl>
      <w:tblPr>
        <w:tblW w:w="981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3974"/>
        <w:gridCol w:w="2861"/>
        <w:gridCol w:w="212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1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5" w:type="dxa"/>
            <w:textDirection w:val="lrTb"/>
            <w:noWrap w:val="false"/>
          </w:tcPr>
          <w:p>
            <w:pPr>
              <w:pStyle w:val="8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27"/>
              <w:numPr>
                <w:ilvl w:val="0"/>
                <w:numId w:val="0"/>
              </w:numPr>
              <w:ind w:left="0" w:firstLine="0"/>
              <w:jc w:val="both"/>
              <w:spacing w:before="120" w:after="6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6" w:type="dxa"/>
            <w:textDirection w:val="lrTb"/>
            <w:noWrap w:val="false"/>
          </w:tcPr>
          <w:p>
            <w:pPr>
              <w:pStyle w:val="8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соответствии с</w:t>
            </w:r>
            <w:r>
              <w:rPr>
                <w:i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sz w:val="24"/>
                <w:szCs w:val="24"/>
                <w:highlight w:val="white"/>
              </w:rPr>
              <w:t xml:space="preserve">техническим заданием</w:t>
            </w:r>
            <w:r>
              <w:rPr>
                <w:i/>
                <w:sz w:val="24"/>
                <w:szCs w:val="24"/>
                <w:highlight w:val="white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на проектные работы (Приложение №1 к настоящим Техническим требованиям)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7"/>
              </w:numPr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4" w:type="dxa"/>
            <w:textDirection w:val="lrTb"/>
            <w:noWrap w:val="false"/>
          </w:tcPr>
          <w:p>
            <w:pPr>
              <w:pStyle w:val="8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86" w:type="dxa"/>
            <w:textDirection w:val="lrTb"/>
            <w:noWrap w:val="false"/>
          </w:tcPr>
          <w:p>
            <w:pPr>
              <w:pStyle w:val="823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В соответствии с разработанной </w:t>
            </w:r>
            <w:r>
              <w:rPr>
                <w:i/>
                <w:sz w:val="24"/>
                <w:szCs w:val="24"/>
              </w:rPr>
              <w:t xml:space="preserve">проектной </w:t>
            </w:r>
            <w:r>
              <w:rPr>
                <w:i/>
                <w:sz w:val="24"/>
                <w:szCs w:val="24"/>
              </w:rPr>
              <w:t xml:space="preserve">документацией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pStyle w:val="823"/>
        <w:ind w:firstLine="0"/>
        <w:spacing w:before="120" w:after="120"/>
        <w:widowControl w:val="off"/>
        <w:tabs>
          <w:tab w:val="left" w:pos="426" w:leader="none"/>
          <w:tab w:val="clear" w:pos="708" w:leader="none"/>
        </w:tabs>
        <w:rPr>
          <w:bCs/>
          <w:i/>
          <w:sz w:val="24"/>
          <w:szCs w:val="24"/>
          <w:shd w:val="clear" w:color="auto" w:fill="ffff99"/>
        </w:rPr>
      </w:pP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  <w:r>
        <w:rPr>
          <w:bCs/>
          <w:i/>
          <w:sz w:val="24"/>
          <w:szCs w:val="24"/>
          <w:shd w:val="clear" w:color="auto" w:fill="ffff99"/>
        </w:rPr>
      </w:r>
    </w:p>
    <w:p>
      <w:pPr>
        <w:pStyle w:val="826"/>
        <w:numPr>
          <w:ilvl w:val="0"/>
          <w:numId w:val="0"/>
        </w:numPr>
        <w:ind w:left="0" w:firstLine="0"/>
      </w:pPr>
      <w:r>
        <w:t xml:space="preserve">2.1.2. </w:t>
      </w:r>
      <w:bookmarkStart w:id="13" w:name="_Toc54646407"/>
      <w:r/>
      <w:bookmarkStart w:id="14" w:name="_Toc51339696"/>
      <w:r>
        <w:t xml:space="preserve">Требования </w:t>
      </w:r>
      <w:bookmarkEnd w:id="14"/>
      <w:r>
        <w:t xml:space="preserve">к срокам выполнения работ</w:t>
      </w:r>
      <w:bookmarkEnd w:id="13"/>
      <w:r/>
      <w:r/>
    </w:p>
    <w:p>
      <w:pPr>
        <w:pStyle w:val="823"/>
        <w:spacing w:line="360" w:lineRule="auto"/>
        <w:rPr>
          <w:b/>
          <w:sz w:val="24"/>
        </w:rPr>
      </w:pPr>
      <w:r>
        <w:rPr>
          <w:b/>
          <w:sz w:val="24"/>
        </w:rPr>
        <w:t xml:space="preserve">Таблица 3. Требования по срокам выполнения работ</w:t>
      </w:r>
      <w:r>
        <w:rPr>
          <w:b/>
          <w:sz w:val="24"/>
        </w:rPr>
      </w:r>
      <w:r>
        <w:rPr>
          <w:b/>
          <w:sz w:val="24"/>
        </w:rPr>
      </w:r>
    </w:p>
    <w:tbl>
      <w:tblPr>
        <w:tblW w:w="977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29"/>
        <w:gridCol w:w="2839"/>
        <w:gridCol w:w="2690"/>
        <w:gridCol w:w="3117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этапа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2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956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956"/>
              <w:jc w:val="center"/>
              <w:keepNext w:val="0"/>
              <w:spacing w:before="40" w:after="4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8"/>
              </w:numPr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27"/>
              <w:numPr>
                <w:ilvl w:val="0"/>
                <w:numId w:val="0"/>
              </w:numPr>
              <w:ind w:left="0" w:firstLine="0"/>
              <w:jc w:val="both"/>
              <w:spacing w:before="120" w:after="60" w:line="276" w:lineRule="auto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3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c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календарных дней с даты, следующей за датой заключения договора 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9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8"/>
              </w:numPr>
              <w:jc w:val="center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9" w:type="dxa"/>
            <w:textDirection w:val="lrTb"/>
            <w:noWrap w:val="false"/>
          </w:tcPr>
          <w:p>
            <w:pPr>
              <w:pStyle w:val="8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Строительно-монтажные работы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0" w:type="dxa"/>
            <w:textDirection w:val="lrTb"/>
            <w:noWrap w:val="false"/>
          </w:tcPr>
          <w:p>
            <w:pPr>
              <w:pStyle w:val="82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 даты, следующей за датой окончания разработки проектной документации</w:t>
            </w:r>
            <w:r>
              <w:rPr>
                <w:color w:val="ff0000"/>
                <w:sz w:val="24"/>
                <w:szCs w:val="24"/>
              </w:rPr>
            </w:r>
            <w:r>
              <w:rPr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7" w:type="dxa"/>
            <w:textDirection w:val="lrTb"/>
            <w:noWrap w:val="false"/>
          </w:tcPr>
          <w:p>
            <w:pPr>
              <w:pStyle w:val="827"/>
              <w:numPr>
                <w:ilvl w:val="0"/>
                <w:numId w:val="0"/>
              </w:numPr>
              <w:contextualSpacing w:val="0"/>
              <w:ind w:left="0" w:firstLine="0"/>
              <w:jc w:val="left"/>
              <w:spacing w:before="120" w:after="60" w:line="240" w:lineRule="auto"/>
              <w:rPr>
                <w:b w:val="0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92 календарных дня с даты, следующей за датой окончания этапа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Разработка проектной документации</w:t>
            </w:r>
            <w:r>
              <w:rPr>
                <w:b w:val="0"/>
                <w:lang w:val="ru-RU"/>
              </w:rPr>
            </w:r>
            <w:r>
              <w:rPr>
                <w:b w:val="0"/>
                <w:lang w:val="ru-RU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Borders>
              <w:top w:val="single" w:color="000000" w:sz="4" w:space="0"/>
            </w:tcBorders>
            <w:tcW w:w="977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823"/>
        <w:ind w:right="113" w:firstLine="284"/>
        <w:spacing w:line="276" w:lineRule="auto"/>
        <w:rPr>
          <w:sz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397" w:left="1134" w:header="680" w:footer="0" w:gutter="0"/>
          <w:cols w:num="1" w:sep="0" w:space="1701" w:equalWidth="1"/>
          <w:docGrid w:linePitch="360"/>
          <w:titlePg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27"/>
        <w:numPr>
          <w:ilvl w:val="0"/>
          <w:numId w:val="0"/>
        </w:numPr>
        <w:ind w:left="0" w:firstLine="0"/>
      </w:pPr>
      <w:r>
        <w:t xml:space="preserve">2.2. </w:t>
      </w:r>
      <w:bookmarkStart w:id="16" w:name="_Toc54646410"/>
      <w:r/>
      <w:bookmarkStart w:id="17" w:name="_Toc51339698"/>
      <w:r>
        <w:t xml:space="preserve">Требования к качеству работ</w:t>
      </w:r>
      <w:r/>
    </w:p>
    <w:p>
      <w:pPr>
        <w:pStyle w:val="824"/>
        <w:numPr>
          <w:ilvl w:val="0"/>
          <w:numId w:val="0"/>
        </w:numPr>
        <w:ind w:left="0" w:firstLine="0"/>
        <w:rPr>
          <w:sz w:val="24"/>
        </w:rPr>
      </w:pPr>
      <w:r/>
      <w:bookmarkStart w:id="18" w:name="_Toc50125131"/>
      <w:r>
        <w:rPr>
          <w:sz w:val="24"/>
        </w:rPr>
        <w:t xml:space="preserve">Таблица 4. Требования к </w:t>
      </w:r>
      <w:bookmarkEnd w:id="18"/>
      <w:r/>
      <w:bookmarkEnd w:id="17"/>
      <w:r>
        <w:rPr>
          <w:sz w:val="24"/>
        </w:rPr>
        <w:t xml:space="preserve">качеству работ</w:t>
      </w:r>
      <w:bookmarkEnd w:id="16"/>
      <w:r>
        <w:rPr>
          <w:sz w:val="24"/>
        </w:rP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823"/>
        <w:ind w:left="-108" w:right="-108"/>
        <w:jc w:val="both"/>
        <w:spacing w:before="60" w:after="60"/>
        <w:rPr>
          <w:highlight w:val="yellow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О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КПД2 42.21.22.120 Выполнение проектных и строительно-монтажных работ по строительству сети для технологического присоединения к системе теплоснабжения объекта: "Лаборатория высокого уровня биологической безопасности для оперативной расшифровке (24 часа) и </w:t>
      </w:r>
      <w:r>
        <w:rPr>
          <w:rFonts w:eastAsia="Times New Roman" w:cs="Times New Roman"/>
          <w:b w:val="0"/>
          <w:bCs w:val="0"/>
          <w:i w:val="0"/>
          <w:iCs w:val="0"/>
          <w:color w:val="000000" w:themeColor="text1"/>
          <w:sz w:val="24"/>
          <w:szCs w:val="24"/>
          <w:lang w:eastAsia="ru-RU"/>
        </w:rPr>
        <w:t xml:space="preserve">изучения опасных и неизвестных инфекций в квартале 418 г. Благовещенск, в рамках выполнения инвестиционного проекта Q_505-АТС-92тп, для Амурских тепловых сетей</w:t>
      </w:r>
      <w:r>
        <w:rPr>
          <w:color w:val="000000" w:themeColor="text1"/>
          <w:sz w:val="24"/>
          <w:szCs w:val="24"/>
        </w:rPr>
        <w:t xml:space="preserve">»</w:t>
      </w:r>
      <w:r>
        <w:rPr>
          <w:highlight w:val="yellow"/>
        </w:rPr>
      </w:r>
      <w:r>
        <w:rPr>
          <w:highlight w:val="yellow"/>
        </w:rPr>
      </w:r>
    </w:p>
    <w:tbl>
      <w:tblPr>
        <w:tblStyle w:val="1102"/>
        <w:tblW w:w="1538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07"/>
        <w:gridCol w:w="2170"/>
        <w:gridCol w:w="6178"/>
        <w:gridCol w:w="3180"/>
        <w:gridCol w:w="2852"/>
      </w:tblGrid>
      <w:tr>
        <w:tblPrEx/>
        <w:trPr/>
        <w:tc>
          <w:tcPr>
            <w:tcW w:w="1007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70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78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70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78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2" w:type="dxa"/>
            <w:vMerge w:val="continue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b/>
                <w:bCs/>
              </w:rPr>
            </w:pPr>
            <w:r>
              <w:rPr>
                <w:b/>
                <w:bCs/>
                <w:lang w:val="ru-RU" w:eastAsia="ru-RU" w:bidi="ar-SA"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142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по разработке проектной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с Техническим </w:t>
            </w:r>
            <w:r>
              <w:rPr>
                <w:bCs/>
                <w:sz w:val="24"/>
                <w:szCs w:val="24"/>
                <w:highlight w:val="white"/>
                <w:lang w:val="ru-RU" w:eastAsia="ru-RU" w:bidi="ar-SA"/>
              </w:rPr>
              <w:t xml:space="preserve">заданием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 на проектирование (Приложение 1 к ТТ), требованиями ГОСТ, СПДС, СНиП, требованиями Применимого права и указаниями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142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Выполнение работ согласно нормативной документации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Работы подлежат выполнению Подрядчиком в строгом соответствии с ведомостью объемов работ, требованиями СНиП, проектной документацией, требованиями Применимого права и указаниями Заказчика.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568" w:hanging="568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Разработка ППР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Разработка и согласование проекта производства работ (ППР).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390"/>
        </w:trPr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Предоставление контактов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Предоставить контакты и должность представителя Подрядчика, ответственного за соблюдение норм и правил в област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1.2.3.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Строительный контроль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Осуществлять мероприятия строительного контроля, возложе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360" w:hanging="502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both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Материалы и оборудование, необходимые для выполнения работ, приобретаются подрядчиком самостоятельно.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20"/>
        </w:trPr>
        <w:tc>
          <w:tcPr>
            <w:tcW w:w="1007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contextualSpacing/>
              <w:ind w:left="38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1.3.2.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оборудованию и материалам поставки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vMerge w:val="restart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ind w:left="720"/>
              <w:jc w:val="left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Требования к используемым материалам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30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Cs w:val="24"/>
                <w:lang w:val="ru-RU" w:eastAsia="ru-RU" w:bidi="ar-SA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93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новыми (выпуска 2024-2025 года) и ранее не использованными, без повреждений, сертифицированы в установленном порядке и иметь сертификаты соответствия, качества, безопасности, паспорта, сан</w:t>
            </w:r>
            <w:r>
              <w:rPr>
                <w:sz w:val="24"/>
                <w:szCs w:val="24"/>
                <w:lang w:val="ru-RU" w:eastAsia="ru-RU" w:bidi="ar-SA"/>
              </w:rPr>
              <w:t xml:space="preserve">итарно-эпидемиологические заключения и гигиенические заключения, разрешения на применение, прочие обязательные документы, имеющие отношение к Материалам, при их наличии. Подрядчик обязан представить Заказчику все копии сертификатов, заключений, разрешений.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0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При проведении работ должны использоваться сертифицированные материалы на основании федеральных законов РФ №184-ФЗ от 27.12.2002 г. «О техническом регулировании» и №123-ФЗ от 22.07.2008 г.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30"/>
              <w:jc w:val="both"/>
              <w:spacing w:before="0" w:after="0"/>
              <w:widowControl/>
              <w:rPr>
                <w:sz w:val="24"/>
                <w:szCs w:val="24"/>
                <w:highlight w:val="none"/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Материалы поставки Подрядчика должны быть поставлены в упаковке производителя, не нарушенной, без следов воздействия влаги. Упаковка и/или тара должна обеспечивать их полную сохранность от всякого рода перегрузо</w:t>
            </w:r>
            <w:r>
              <w:rPr>
                <w:sz w:val="24"/>
                <w:szCs w:val="24"/>
                <w:lang w:val="ru-RU" w:eastAsia="ru-RU" w:bidi="ar-SA"/>
              </w:rPr>
              <w:t xml:space="preserve">к, повреждений при перевозке любыми видами транспорта, длительного хранения, а также предохранять поставляемые материалы от внешних воздействий, обеспечивать их сохранность при проведении погрузо-разгрузочных работ вручную или механизированными средствами.</w:t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  <w:r>
              <w:rPr>
                <w:sz w:val="24"/>
                <w:szCs w:val="24"/>
                <w:highlight w:val="none"/>
                <w:lang w:val="ru-RU" w:eastAsia="ru-RU" w:bidi="ar-SA"/>
              </w:rPr>
            </w:r>
          </w:p>
          <w:p>
            <w:pPr>
              <w:pStyle w:val="930"/>
              <w:ind w:left="0" w:right="68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897"/>
                <w:rFonts w:eastAsia="Times New Roman" w:cs="Times New Roman"/>
                <w:color w:val="000000"/>
                <w:sz w:val="24"/>
                <w:szCs w:val="24"/>
              </w:rPr>
              <w:t xml:space="preserve">- Оборудование и материально-технические ресурсы, применяемые в проекте должны соответствовать требованиям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Постановления Правительства РФ от 23.12.2024 N 1875 (в актуальной редакции на момент проектирования) "О мерах по предоставлению национального режима при ос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u w:val="none"/>
                <w:lang w:val="ru-RU" w:eastAsia="ru-RU" w:bidi="ar-SA"/>
              </w:rPr>
              <w:t xml:space="preserve">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лиц", быть согласованы с заказчиком и иметь необходимые сертификаты (соответствия, качества и т.д.).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30"/>
              <w:jc w:val="both"/>
              <w:spacing w:before="0" w:after="0"/>
              <w:widowControl/>
              <w:rPr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Стоимость тары и/или упаковки включена в стоимость Материалов.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tcW w:w="3180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vMerge w:val="continue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контролю качества работ и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contextualSpacing/>
              <w:ind w:left="2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1.4.1.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контролю качества работ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tabs>
                <w:tab w:val="left" w:pos="333" w:leader="none"/>
                <w:tab w:val="clear" w:pos="708" w:leader="none"/>
              </w:tabs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-</w:t>
              <w:tab/>
              <w:t xml:space="preserve"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contextualSpacing/>
              <w:ind w:left="2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1.4.2.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lang w:val="ru-RU" w:eastAsia="ru-RU" w:bidi="ar-SA"/>
              </w:rPr>
              <w:t xml:space="preserve">Требования к контролю качества используемых материалов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both"/>
              <w:spacing w:before="0" w:after="6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Подрядчик должен обеспечить входной контроль поступающих материалов и запасных частей, включающий в себя проверку: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40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940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940"/>
              <w:numPr>
                <w:ilvl w:val="0"/>
                <w:numId w:val="11"/>
              </w:numPr>
              <w:contextualSpacing/>
              <w:ind w:left="0" w:firstLine="0"/>
              <w:jc w:val="both"/>
              <w:spacing w:before="0" w:after="60"/>
              <w:widowControl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  <w:lang w:val="ru-RU" w:eastAsia="ru-RU" w:bidi="ar-SA"/>
              </w:rPr>
              <w:t xml:space="preserve">наличия маркировки, сохранности упаковки, наличия и сохранности защитных и окрасочных покрытий и т.п.;</w:t>
            </w:r>
            <w:r>
              <w:rPr>
                <w:rFonts w:eastAsia="Times New Roman"/>
                <w:iCs/>
              </w:rPr>
            </w:r>
            <w:r>
              <w:rPr>
                <w:rFonts w:eastAsia="Times New Roman"/>
                <w:iCs/>
              </w:rPr>
            </w:r>
          </w:p>
          <w:p>
            <w:pPr>
              <w:pStyle w:val="823"/>
              <w:jc w:val="both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- комплектности поставляемых материалов.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персоналу подрядчика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1.5.1.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Квалификация персонала подрядчика, привлекаемого к выполнению работ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823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ind w:right="97"/>
              <w:jc w:val="both"/>
              <w:spacing w:before="0" w:after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Подрядчик должен производить работы квалифицированными специалистами рабочих специальностей и ИТР: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ind w:firstLine="567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аттестованных согласно «</w:t>
            </w:r>
            <w:hyperlink r:id="rId17" w:tooltip="https://docs.cntd.ru/document/573068704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с инструментом и приспособлениями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27 ноября 2020 года N 835н, «</w:t>
            </w:r>
            <w:hyperlink r:id="rId18" w:tooltip="https://docs.cntd.ru/document/573114692#6540IN" w:anchor="6540IN" w:history="1">
              <w:r>
                <w:rPr>
                  <w:bCs/>
                  <w:sz w:val="24"/>
                  <w:szCs w:val="24"/>
                  <w:lang w:val="ru-RU" w:eastAsia="ru-RU" w:bidi="ar-SA"/>
                </w:rPr>
                <w:t xml:space="preserve">Правил по охране труда при работе на высоте</w:t>
              </w:r>
            </w:hyperlink>
            <w:r>
              <w:rPr>
                <w:bCs/>
                <w:sz w:val="24"/>
                <w:szCs w:val="24"/>
                <w:lang w:val="ru-RU" w:eastAsia="ru-RU" w:bidi="ar-SA"/>
              </w:rPr>
              <w:t xml:space="preserve">» от 16 ноября 2020 года N 782н,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N 1479.1.2).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ind w:firstLine="567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Допуск персонала Подрядчика к выполнению работ должен осуществляться согласно «Положения о допуске персонала подрядных организаций к выполнению работ на объектах АО «ДГК».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jc w:val="both"/>
              <w:spacing w:before="60" w:after="0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  </w:t>
            </w:r>
            <w:r>
              <w:rPr>
                <w:sz w:val="24"/>
                <w:szCs w:val="24"/>
                <w:lang w:val="ru-RU" w:eastAsia="ru-RU" w:bidi="ar-SA"/>
              </w:rPr>
              <w:t xml:space="preserve">Требования со стороны Заказчика к квалификации персонала Подрядчика при допуске сотрудников к выполнению сварочных работ: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ind w:firstLine="567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ind w:firstLine="49"/>
              <w:jc w:val="both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правилами внутреннего распорядка, задачами, стоящими перед каждой бригадой: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left" w:pos="616" w:leader="none"/>
                <w:tab w:val="clear" w:pos="708" w:leader="none"/>
                <w:tab w:val="left" w:pos="758" w:leader="none"/>
                <w:tab w:val="left" w:pos="1520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ind w:right="97" w:firstLine="558"/>
              <w:jc w:val="both"/>
              <w:spacing w:before="0" w:after="0"/>
              <w:widowControl w:val="off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ar-SA"/>
              </w:rPr>
              <w:t xml:space="preserve">Подрядчик должен: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иметь производственную базу (материально-технические ресурсы), позволяющую проводить работы.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ind w:firstLine="49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- обладать гражданской правоспособностью в полном объёме для заключения и исполнения договора подряда (должен быть зарегистрирован в установленном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23"/>
              <w:ind w:firstLine="558"/>
              <w:jc w:val="both"/>
              <w:spacing w:before="0" w:after="0"/>
              <w:widowControl/>
              <w:tabs>
                <w:tab w:val="left" w:pos="526" w:leader="none"/>
                <w:tab w:val="clear" w:pos="708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Во время проведения работ команда ИТР Подрядчика должна поддерживать на должном уровне систему управ</w:t>
            </w:r>
            <w:r>
              <w:rPr>
                <w:bCs/>
                <w:sz w:val="24"/>
                <w:szCs w:val="24"/>
                <w:lang w:val="ru-RU" w:eastAsia="ru-RU" w:bidi="ar-SA"/>
              </w:rPr>
              <w:t xml:space="preserve">ления работами (инструментальное и материально-техническое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 и т.д.).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317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1.6.1.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940"/>
              <w:contextualSpacing/>
              <w:ind w:left="0"/>
              <w:jc w:val="left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iCs/>
                <w:lang w:val="ru-RU" w:eastAsia="ru-RU" w:bidi="ar-SA"/>
              </w:rPr>
              <w:t xml:space="preserve">Требования к безопасности выполняемых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940"/>
              <w:contextualSpacing/>
              <w:ind w:left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bCs/>
                <w:lang w:val="ru-RU" w:eastAsia="ru-RU" w:bidi="ar-SA"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  <w:lang w:val="ru-RU" w:eastAsia="ru-RU" w:bidi="ar-SA"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</w:rPr>
            </w:pPr>
            <w:r>
              <w:rPr>
                <w:b/>
                <w:lang w:val="ru-RU" w:eastAsia="ru-RU" w:bidi="ar-SA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2.1.1.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  <w:highlight w:val="yellow"/>
              </w:rPr>
            </w:pPr>
            <w:r>
              <w:rPr>
                <w:spacing w:val="-5"/>
                <w:sz w:val="24"/>
                <w:szCs w:val="24"/>
                <w:lang w:val="ru-RU" w:eastAsia="ru-RU" w:bidi="ru-RU"/>
              </w:rPr>
              <w:t xml:space="preserve">Требования к результату проектных работ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shd w:val="clear" w:color="auto" w:fill="ffffff"/>
              <w:widowControl/>
              <w:tabs>
                <w:tab w:val="clear" w:pos="708" w:leader="none"/>
                <w:tab w:val="left" w:pos="1361" w:leader="none"/>
              </w:tabs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  <w:lang w:val="ru-RU" w:eastAsia="ru-RU" w:bidi="ru-RU"/>
              </w:rPr>
              <w:t xml:space="preserve">-</w:t>
            </w:r>
            <w:r>
              <w:rPr>
                <w:spacing w:val="-5"/>
                <w:sz w:val="24"/>
                <w:szCs w:val="24"/>
                <w:highlight w:val="white"/>
                <w:lang w:val="ru-RU" w:eastAsia="ru-RU" w:bidi="ru-RU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 w:eastAsia="ru-RU" w:bidi="ar-SA"/>
              </w:rPr>
              <w:t xml:space="preserve">требования по вариантной разработке проекта: не требуется;</w:t>
            </w:r>
            <w:r>
              <w:rPr>
                <w:spacing w:val="-5"/>
                <w:sz w:val="24"/>
                <w:szCs w:val="24"/>
                <w:highlight w:val="white"/>
              </w:rPr>
            </w:r>
            <w:r>
              <w:rPr>
                <w:spacing w:val="-5"/>
                <w:sz w:val="24"/>
                <w:szCs w:val="24"/>
                <w:highlight w:val="white"/>
              </w:rPr>
            </w:r>
          </w:p>
          <w:p>
            <w:pPr>
              <w:ind w:left="113" w:right="113" w:firstLine="0"/>
              <w:jc w:val="both"/>
              <w:spacing w:line="276" w:lineRule="auto"/>
              <w:widowControl w:val="off"/>
              <w:tabs>
                <w:tab w:val="left" w:pos="511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  <w:lang w:eastAsia="ru-RU" w:bidi="ru-RU"/>
              </w:rPr>
            </w:r>
            <w:r>
              <w:rPr>
                <w:sz w:val="24"/>
                <w:highlight w:val="white"/>
              </w:rPr>
              <w:t xml:space="preserve">Объём и состав проектной документации должен соответствовать требованиям </w:t>
            </w:r>
            <w:r>
              <w:rPr>
                <w:sz w:val="24"/>
                <w:szCs w:val="24"/>
                <w:highlight w:val="white"/>
                <w:lang w:eastAsia="ru-RU" w:bidi="ru-RU"/>
              </w:rPr>
              <w:t xml:space="preserve">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ind w:left="113" w:right="113" w:firstLine="0"/>
              <w:jc w:val="both"/>
              <w:spacing w:line="276" w:lineRule="auto"/>
              <w:widowControl w:val="off"/>
              <w:tabs>
                <w:tab w:val="left" w:pos="511" w:leader="none"/>
                <w:tab w:val="clear" w:pos="708" w:leader="none"/>
              </w:tabs>
              <w:rPr>
                <w:sz w:val="24"/>
                <w:szCs w:val="24"/>
                <w:highlight w:val="none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 xml:space="preserve">Раздел ПОС выполнить в соответствии с требованиями СП 48.13330.2019 «Свод п</w:t>
            </w:r>
            <w:r>
              <w:rPr>
                <w:sz w:val="24"/>
                <w:szCs w:val="24"/>
                <w:lang w:eastAsia="ru-RU" w:bidi="ru-RU"/>
              </w:rPr>
              <w:t xml:space="preserve">равил. Организация строительства». Состав и содержание ПОС должны соответствовать требованиям пункта 23 раздела 6 Постановления Правительства Российской Федерации от 16.02.2008 № 87 «О составе разделов проектной документации и требованиях к их содержанию».</w:t>
            </w:r>
            <w:r>
              <w:rPr>
                <w:sz w:val="24"/>
                <w:szCs w:val="24"/>
                <w:highlight w:val="none"/>
                <w:lang w:eastAsia="ru-RU" w:bidi="ru-RU"/>
              </w:rPr>
            </w:r>
            <w:r>
              <w:rPr>
                <w:sz w:val="24"/>
                <w:szCs w:val="24"/>
                <w:highlight w:val="none"/>
                <w:lang w:eastAsia="ru-RU" w:bidi="ru-RU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contextualSpacing/>
              <w:ind w:left="25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2.1.2.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t xml:space="preserve">Требования к результату строительно-монтажных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Работы должны быть выполнены в соответствии с проектной</w:t>
            </w: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 w:eastAsia="en-US" w:bidi="ar-SA"/>
              </w:rPr>
              <w:t xml:space="preserve">документацией и ведомостью объёмов работ. Объект должен быть принят Заказчиком в Гарантийную эксплуатацию по Акту КС-14.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</w:rPr>
            </w:pPr>
            <w:r>
              <w:rPr>
                <w:b/>
                <w:lang w:val="ru-RU" w:eastAsia="ru-RU" w:bidi="ar-SA"/>
              </w:rPr>
              <w:t xml:space="preserve">-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2.1.3.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sz w:val="24"/>
              </w:rPr>
            </w:pPr>
            <w:r>
              <w:rPr>
                <w:sz w:val="24"/>
                <w:lang w:val="ru-RU" w:eastAsia="ru-RU" w:bidi="ar-SA"/>
              </w:rPr>
              <w:t xml:space="preserve">Требования к результату согласований проектной документации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jc w:val="both"/>
              <w:spacing w:before="60" w:after="0"/>
              <w:widowControl/>
              <w:rPr>
                <w:b/>
                <w:sz w:val="24"/>
                <w:highlight w:val="white"/>
              </w:rPr>
            </w:pPr>
            <w:r>
              <w:rPr>
                <w:spacing w:val="-5"/>
                <w:sz w:val="24"/>
                <w:szCs w:val="24"/>
                <w:highlight w:val="white"/>
                <w:lang w:val="ru-RU" w:eastAsia="ru-RU" w:bidi="ru-RU"/>
              </w:rPr>
              <w:t xml:space="preserve">Проектную документацию согласовать в требуемом объеме с СП «Амурские тепловые сети», а также со сторонними заинтересованными организациями.</w:t>
            </w:r>
            <w:r>
              <w:rPr>
                <w:b/>
                <w:sz w:val="24"/>
                <w:highlight w:val="white"/>
              </w:rPr>
            </w:r>
            <w:r>
              <w:rPr>
                <w:b/>
                <w:sz w:val="24"/>
                <w:highlight w:val="white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lang w:val="ru-RU" w:eastAsia="ru-RU" w:bidi="ar-SA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885"/>
                <w:i w:val="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tabs>
                <w:tab w:val="left" w:pos="33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ru-RU" w:eastAsia="ru-RU" w:bidi="ar-SA"/>
              </w:rPr>
              <w:t xml:space="preserve">Требования к надежности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Обеспечение работоспособности трубопроводов в безаварийном режиме в период прохождения нагрузок, для подачи потребителям тепловой энергии установленных параметров и снижения тепловых потерь.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 w:bidi="ar-SA"/>
              </w:rPr>
              <w:t xml:space="preserve">Требования к порядку приемки результатов работ</w:t>
            </w:r>
            <w:r>
              <w:rPr>
                <w:rStyle w:val="885"/>
                <w:b w:val="0"/>
                <w:bCs/>
                <w:i w:val="0"/>
                <w:sz w:val="24"/>
                <w:szCs w:val="24"/>
                <w:shd w:val="clear" w:color="auto" w:fill="auto"/>
                <w:lang w:val="ru-RU" w:eastAsia="ru-RU" w:bidi="ar-SA"/>
              </w:rPr>
              <w:t xml:space="preserve">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940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Порядок приемки результатов работ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940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bCs/>
                <w:lang w:val="ru-RU" w:eastAsia="ru-RU" w:bidi="ar-SA"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lang w:val="ru-RU" w:eastAsia="en-US" w:bidi="ar-SA"/>
              </w:rPr>
              <w:t xml:space="preserve">(раздел № 4).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1"/>
                <w:numId w:val="10"/>
              </w:numPr>
              <w:contextualSpacing/>
              <w:ind w:left="-117" w:firstLine="142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vAlign w:val="center"/>
            <w:textDirection w:val="lrTb"/>
            <w:noWrap w:val="false"/>
          </w:tcPr>
          <w:p>
            <w:pPr>
              <w:pStyle w:val="940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Оформление проектной документации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6178" w:type="dxa"/>
            <w:vAlign w:val="center"/>
            <w:textDirection w:val="lrTb"/>
            <w:noWrap w:val="false"/>
          </w:tcPr>
          <w:p>
            <w:pPr>
              <w:pStyle w:val="823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Три экземпляра в бумажном виде и один экземпляр на электронном носителе (на </w:t>
            </w:r>
            <w:r>
              <w:rPr>
                <w:sz w:val="24"/>
                <w:szCs w:val="24"/>
                <w:lang w:val="en-US" w:eastAsia="ru-RU" w:bidi="ar-SA"/>
              </w:rPr>
              <w:t xml:space="preserve">USB</w:t>
            </w:r>
            <w:r>
              <w:rPr>
                <w:sz w:val="24"/>
                <w:szCs w:val="24"/>
                <w:lang w:val="ru-RU" w:eastAsia="ru-RU" w:bidi="ar-SA"/>
              </w:rPr>
              <w:t xml:space="preserve">-носителе).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Формат передаваемой в электронном виде документации: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текстовая часть – doc, pdf (пояснительная записка и «ПОС» обязательно в pdf и doc) с подписями и печатями на титульных листах;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3"/>
              <w:contextualSpacing/>
              <w:ind w:firstLine="289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графическая часть -  dwg или cdw, pdf, tiff;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40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- таблицы данных - doc, pdf, xls;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contextualSpacing/>
              <w:ind w:left="0"/>
              <w:jc w:val="left"/>
              <w:spacing w:before="0" w:after="0"/>
              <w:shd w:val="clear" w:color="auto" w:fill="ffffff"/>
              <w:widowControl/>
              <w:tabs>
                <w:tab w:val="left" w:pos="284" w:leader="none"/>
                <w:tab w:val="clear" w:pos="708" w:leader="none"/>
              </w:tabs>
              <w:rPr>
                <w:b/>
              </w:rPr>
            </w:pPr>
            <w:r>
              <w:rPr>
                <w:lang w:val="ru-RU" w:eastAsia="ru-RU" w:bidi="ar-SA"/>
              </w:rPr>
              <w:t xml:space="preserve">- сметная документация – xls, в формате ГрандСмета.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b/>
                <w:bCs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4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ind w:left="175" w:hanging="284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3.1.1.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val="ru-RU" w:eastAsia="ru-RU" w:bidi="ar-SA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pStyle w:val="940"/>
              <w:contextualSpacing/>
              <w:ind w:left="709"/>
              <w:jc w:val="both"/>
              <w:spacing w:before="0" w:after="0"/>
              <w:widowControl w:val="off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Обеспечить качество и безопасность выполняемых Работ с соблюдением требований ГОСТ, СП, СНиП, нормативных документов НТД и заводской документацией на монтируемые изделия, в том числе, но не ограничиваясь: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sz w:val="24"/>
                <w:szCs w:val="24"/>
                <w:highlight w:val="white"/>
                <w:lang w:bidi="ru-RU"/>
              </w:rPr>
            </w:pPr>
            <w:r>
              <w:rPr>
                <w:sz w:val="24"/>
                <w:szCs w:val="24"/>
                <w:highlight w:val="white"/>
                <w:lang w:val="ru-RU" w:eastAsia="ru-RU" w:bidi="ru-RU"/>
              </w:rPr>
              <w:t xml:space="preserve">СО 34.03.301-00 (РД 153-34.0-03-301-00) (ВППБ 01-02-95*) Правила пожарной безопасности для энергетических предприятий;</w:t>
            </w:r>
            <w:r>
              <w:rPr>
                <w:sz w:val="24"/>
                <w:szCs w:val="24"/>
                <w:highlight w:val="white"/>
                <w:lang w:bidi="ru-RU"/>
              </w:rPr>
            </w:r>
            <w:r>
              <w:rPr>
                <w:sz w:val="24"/>
                <w:szCs w:val="24"/>
                <w:highlight w:val="white"/>
                <w:lang w:bidi="ru-RU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</w:t>
            </w:r>
            <w:r>
              <w:rPr>
                <w:rFonts w:eastAsia="Times New Roman"/>
                <w:highlight w:val="white"/>
                <w:lang w:val="ru-RU" w:eastAsia="ru-RU" w:bidi="ru-RU"/>
              </w:rPr>
              <w:t xml:space="preserve">Правила противопожарного режима в Российской Федерации. Утверждены постановлением Правительства Российской Федерации от 16 сентября 2020 года N 1479</w:t>
            </w:r>
            <w:r>
              <w:rPr>
                <w:highlight w:val="white"/>
                <w:lang w:val="ru-RU" w:eastAsia="ru-RU" w:bidi="ar-SA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при работе с инструментом и приспособлениями», утв. Приказом Минтруда №835н от 27.11.2020г.;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«Правила безопасности опасных производственных объектов, на которых используются подъемные сооружения», утв. приказом Ростехнадзора №461 от 26.11.2020г.;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При выполнении работ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Заказчика: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lang w:val="ru-RU" w:eastAsia="ru-RU" w:bidi="ar-SA"/>
              </w:rPr>
              <w:t xml:space="preserve">«Правила технической эксплуатации электрических станций и сетей Российской </w:t>
            </w:r>
            <w:r>
              <w:rPr>
                <w:highlight w:val="white"/>
                <w:lang w:val="ru-RU" w:eastAsia="ru-RU" w:bidi="ar-SA"/>
              </w:rPr>
              <w:t xml:space="preserve">Федерации». Утверждены приказом Минэнерго России от 04.10.2022 года №1070. Зарегистрированы в Министерстве юстиции РФ 06.12.2022 года №71384;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03-606-03. Инструкция по визуальному и измерительному контролю;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РД 34.03.284-96 «Инструкция по организации и производству работ повышенной опасности»;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СО 34.04.181-2003 «Правила организации технического обслуживания и ремонта оборудования, зданий и сооружений электростанций и сетей» (утв. РАО "ЕЭС России" 25.12.2003 г.);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«СП 68.13330.2017. Свод правил. Приемка в эксплуатацию законченных строительством объектов. Основные положения. Актуализированная редакция СНиП 3.01.04-87»  (утв. Приказом Минстроя России от 27.06.2017 г. №1033пр) (ред. от 10.12.2019 г.);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техники безопасности при эксплуатации тепломеханического оборудования электростанций и тепловых сетей». РД 34.03.201-97 (утв. Минтопэнерго России 03.04.1997 г.) (по состоянию на 03.04.2000 г.) (ред. от 22.02.2000 г.);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«Правила по охране труда при погрузочно-разгрузочных работах и размещении грузов. Утв. Приказом Минтруда России от 28.10.2020 г. №753н (Зарегистрировано в Минюсте России 15.12.2020 г. №61471);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12-03-2001 «Безопасность труда в строительстве. Часть 1. Общие требования». Приняты и введены в действие Постановлением Госстроя РФ от 23.07.2001 г. №80;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СНиП 12-04-2002 «Безопасность труда в строительстве. Часть 2. Строительное производство». Приняты и введены в действие Постановлением Госстроя РФ от 17.09.2002 г. №123;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требований, предъявляемых к а</w:t>
            </w:r>
            <w:r>
              <w:rPr>
                <w:lang w:val="ru-RU" w:eastAsia="ru-RU" w:bidi="ar-SA"/>
              </w:rPr>
              <w:t xml:space="preserve">ктам освидетельствования работ, конструкций, участков сетей инженерно-технического обеспечения (вместе с "РД-11-02-2006...")» Утв. Приказом Ростехнадзора от 26.12.2006 г. №1128 (ред. от 26.10.2015 г.). Зарегистрированы в Минюсте России 06.03.2007 г. №9050;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МДС 12-81.2007. «Методические рекомендации по разработке и оформлению проекта организации строительства и проекта производства работ»;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ВСН 214-89 «Сборник инструкций по защите от коррозий». Инструкция № 2 по подготовке металлических и бетонных поверхностей подлежащих антикоррозийной защите;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ПОТ РМ-012-2000 «Межотраслевые правила по охране труда при работе на высоте»;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СНиП 12-01-2004 «Организация строительства» утверждён приказом Минстроя РФ №861пр от 24.12.2019г;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highlight w:val="white"/>
                <w:lang w:val="ru-RU" w:eastAsia="ru-RU" w:bidi="ar-SA"/>
              </w:rPr>
              <w:t xml:space="preserve">СП 70.13330.2012  «Свод правил. Несущие и ограждающие конструкции. Актуализированная редакция СНиП 3-03-01-87»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highlight w:val="white"/>
                <w:lang w:val="ru-RU" w:eastAsia="ru-RU" w:bidi="ar-SA"/>
              </w:rPr>
              <w:t xml:space="preserve">СП 71.13330.2017 «Изоляционные и отделочные покрытия» Актуализированная редакция СНиП 3-04-01-87 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16037-80. Соединения сварных стальных трубопроводов. Основные типы, конструктивные элементы и размеры;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  <w:rFonts w:eastAsia="Calibri"/>
              </w:rPr>
              <w:t xml:space="preserve">РД 153-34.0-20.518-2003 Типовая инструкция по защите трубопроводов, тепловых сетей от наружной коррозии</w:t>
            </w:r>
            <w:r>
              <w:rPr>
                <w:lang w:val="ru-RU" w:eastAsia="ru-RU" w:bidi="ar-SA"/>
              </w:rPr>
              <w:t xml:space="preserve">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ГОСТ 12.3.033-84 ССБТ «Строительные машины. Общие требования при эксплуатации»;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СТО РусГидро 01.02.115-2019 «Приёмка и ввод в эксплуатацию. Правила приёмки и ввода в эксплуатацию полностью законченных строительством объектов и отдельных этапов строительства»;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940"/>
              <w:numPr>
                <w:ilvl w:val="0"/>
                <w:numId w:val="12"/>
              </w:numPr>
              <w:contextualSpacing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 xml:space="preserve">Заводской документацией на Материально-технические ресурсы и оборудование.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    </w:t>
            </w:r>
            <w:r>
              <w:rPr>
                <w:rStyle w:val="897"/>
              </w:rPr>
              <w:t xml:space="preserve">- Градостроительный кодекс Российской Федерации(с изменениями на 25 декабря 2023 года)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left="0" w:right="113" w:firstLine="28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(редакция, действующая с 1 февраля 2024 года) от 29.12.2004 N 191-ФЗ.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 </w:t>
            </w:r>
            <w:r>
              <w:rPr>
                <w:rStyle w:val="897"/>
              </w:rPr>
              <w:t xml:space="preserve">- Земельный кодекс Российской Федерации (с изменениями на 4 августа 2023 года) (редакция, действующая с 1 октября 2023 года) от 25.10.2001 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N 136- ФЗ.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Федеральный закон «О кадастровой деятельности» от 24.07.2007 № 221-ФЗ (ред. от 24.07.2023).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  СП 42.13330.2016. Свод правил.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Градостроительство. Планировка и застройка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городских и сельских поселений.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Актуализированная редакция СНиП 2.07.01-89*"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(утв. Приказом Минстроя России от 30.12.2016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N 1034/пр) (ред. от 19.12.2019).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Закон Амурской области от 05.12.2006 № 259-ОЗ (с изменениями на 6 марта 2024 года) «О регулировании градостроительной деятельности в Амурской области».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«Региональные нормативы градостроительного проектирования Амурской области», утверждены Постановлением Правительства Амурской области №749 от 20.12.2019г.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«Нормативы градостроительного проектирования муниципального образования города Благовещенска», утверждены Постановлением Администрации города Благовещенска от 29 декабря 2021 года N 5551 (с изменениями на 13 января 2022 года);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«Генеральный план городского округа города Благовещенска», утверждённый решением Благовещенской Городской думы №52/06 от 26.01.2023г. (с изменениями от 12.10.2023г.). 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13" w:hanging="33"/>
              <w:jc w:val="both"/>
              <w:spacing w:before="0" w:after="0" w:line="276" w:lineRule="auto"/>
              <w:widowControl w:val="off"/>
              <w:tabs>
                <w:tab w:val="left" w:pos="526" w:leader="none"/>
                <w:tab w:val="clear" w:pos="708" w:leader="none"/>
                <w:tab w:val="left" w:pos="750" w:leader="none"/>
                <w:tab w:val="left" w:pos="954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«Правила землепользования и застройки муниципального образования города Благовещенска», утверждённые постановлением Администрации г. Благовещенска №149 от 14.01.2022г.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СП 124.13330.2012. «Тепловые сети» </w:t>
            </w:r>
            <w:r>
              <w:rPr>
                <w:rStyle w:val="897"/>
                <w:sz w:val="24"/>
                <w:szCs w:val="24"/>
              </w:rPr>
              <w:t xml:space="preserve">актуализированная редакция </w:t>
            </w:r>
            <w:r>
              <w:rPr>
                <w:rStyle w:val="897"/>
              </w:rPr>
              <w:t xml:space="preserve">СНиП 41-02-2003 Утверждены приказом Минрегиона России </w:t>
            </w: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от 30 июня 2012 г. N 280 (в ред. Изменения N 1, утв. Приказом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left="0" w:right="0" w:firstLine="0"/>
              <w:jc w:val="both"/>
              <w:spacing w:before="0" w:after="0"/>
              <w:widowControl/>
              <w:rPr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sz w:val="24"/>
                <w:lang w:val="ru-RU" w:eastAsia="ru-RU" w:bidi="ar-SA"/>
              </w:rPr>
              <w:t xml:space="preserve">Минстроя России от 20.11.2019 N 698/пр, Изменения N 2, утв. Приказом Минстроя России от 27.12.2021 N 1021/пр, Изменения N 3, утв. Приказом Минстроя России от 31.05.2022 N 434/пр)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СП 61.13330.2012 «Тепловая изоляция оборудования и трубопроводов» Актуализированная редакция СНиП 41-03-2003 (Изменение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0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ГОСТ 21.705-2016. Система проектной документации для строительства» (Поправка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28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ГОСТ 21.206-2012 СПДС. Условные обозначения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4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ГОСТ 21.405-93 СПДС. Правила выполнения рабочей документации тепловой изоляции оборудования и трубопроводов;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54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ГОСТ 21.705-2016 СПДС. Правила выполнения рабочей документации тепловых сетей (Поправка № 1);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left="-33" w:right="137" w:hanging="142"/>
              <w:jc w:val="both"/>
              <w:spacing w:before="0" w:after="0" w:line="276" w:lineRule="auto"/>
              <w:widowControl w:val="off"/>
              <w:rPr>
                <w:lang w:val="ru-RU" w:eastAsia="ru-RU" w:bidi="ar-SA"/>
              </w:rPr>
            </w:pPr>
            <w:r>
              <w:rPr>
                <w:sz w:val="24"/>
                <w:lang w:val="ru-RU" w:eastAsia="ru-RU" w:bidi="ar-SA"/>
              </w:rPr>
              <w:t xml:space="preserve">- -ГОСТ Р 21.101-2020 «Система проектной документации для строительства (СПДС). Основные требования к проектной и рабочей документации»;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Федеральный Закон РФ от 27.12.2002 № 184-ФЗ «О техническом регулировании» (*в действующей редакции);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 w:hanging="33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Федеральный закон от 10.01.2002 № 7-ФЗ «Об охране окружающей среды» (с изменениями на 2 июля 2021 года);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37"/>
              <w:jc w:val="both"/>
              <w:spacing w:before="0" w:after="0" w:line="276" w:lineRule="auto"/>
              <w:widowControl w:val="off"/>
              <w:tabs>
                <w:tab w:val="left" w:pos="569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rStyle w:val="897"/>
              </w:rPr>
              <w:t xml:space="preserve">- Федеральный закон от 21.12.1994 № 69-ФЗ «О пожарной безопасности» (*в действующей редакции);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right="193" w:hanging="33"/>
              <w:jc w:val="both"/>
              <w:spacing w:before="0" w:after="0" w:line="276" w:lineRule="auto"/>
              <w:widowControl w:val="off"/>
              <w:tabs>
                <w:tab w:val="left" w:pos="146" w:leader="none"/>
                <w:tab w:val="left" w:pos="430" w:leader="none"/>
                <w:tab w:val="clear" w:pos="708" w:leader="none"/>
              </w:tabs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 Другие технические регламенты, строительные нормы и правила, федеральные нормы и правила, государственные отраслевые стандарт, стандарты организации и т.д.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  <w:p>
            <w:pPr>
              <w:pStyle w:val="823"/>
              <w:ind w:firstLine="280"/>
              <w:jc w:val="both"/>
              <w:spacing w:before="0" w:after="0"/>
              <w:widowControl w:val="off"/>
              <w:tabs>
                <w:tab w:val="clear" w:pos="708" w:leader="none"/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Перечень не является исчерпывающим и при применении используются действующие редакции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both"/>
              <w:spacing w:before="2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4.1.1</w:t>
            </w:r>
            <w:r>
              <w:rPr>
                <w:lang w:val="ru-RU" w:eastAsia="ru-RU" w:bidi="ar-SA"/>
              </w:rPr>
              <w:t xml:space="preserve">.</w:t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(раздел 7)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bCs/>
              </w:rPr>
            </w:pPr>
            <w:r>
              <w:rPr>
                <w:b/>
                <w:bCs/>
                <w:lang w:val="ru-RU" w:eastAsia="ru-RU" w:bidi="ar-SA"/>
              </w:rPr>
              <w:t xml:space="preserve">-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4.1.2.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гарантии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  <w:lang w:eastAsia="en-US"/>
              </w:rPr>
            </w:pPr>
            <w:r/>
            <w:bookmarkStart w:id="19" w:name="undefined"/>
            <w:r>
              <w:rPr>
                <w:sz w:val="24"/>
                <w:szCs w:val="24"/>
                <w:lang w:val="ru-RU" w:eastAsia="en-US" w:bidi="ar-SA"/>
              </w:rPr>
              <w:t xml:space="preserve">Гарантийный срок составляет 24 (двадцать четыре) месяца и начинается с даты подписания Сторонами Акта КС-11 </w:t>
            </w:r>
            <w:bookmarkEnd w:id="19"/>
            <w:r>
              <w:rPr>
                <w:sz w:val="24"/>
                <w:szCs w:val="24"/>
                <w:lang w:val="ru-RU" w:eastAsia="en-US" w:bidi="ar-SA"/>
              </w:rPr>
              <w:t xml:space="preserve">либо с даты прекращения (расторжения) Договора.  Гарантийный срок может быть продлен в соответствии с условиями Договора. </w:t>
            </w:r>
            <w:r>
              <w:rPr>
                <w:sz w:val="24"/>
                <w:szCs w:val="24"/>
                <w:lang w:eastAsia="en-US"/>
              </w:rPr>
            </w:r>
            <w:r>
              <w:rPr>
                <w:sz w:val="24"/>
                <w:szCs w:val="24"/>
                <w:lang w:eastAsia="en-US"/>
              </w:rPr>
            </w:r>
          </w:p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en-US" w:bidi="ar-SA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sz w:val="24"/>
                <w:szCs w:val="24"/>
                <w:lang w:val="ru-RU" w:eastAsia="en-US" w:bidi="ar-SA"/>
              </w:rPr>
              <w:t xml:space="preserve">(раздел № 8).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955"/>
              <w:numPr>
                <w:ilvl w:val="0"/>
                <w:numId w:val="0"/>
              </w:numPr>
              <w:jc w:val="left"/>
              <w:keepNext w:val="0"/>
              <w:spacing w:before="0" w:after="60"/>
              <w:widowControl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b w:val="0"/>
                <w:sz w:val="20"/>
                <w:szCs w:val="20"/>
                <w:lang w:val="ru-RU" w:eastAsia="ru-RU" w:bidi="ar-SA"/>
              </w:rPr>
              <w:t xml:space="preserve">Согласие с требованиями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955"/>
              <w:numPr>
                <w:ilvl w:val="0"/>
                <w:numId w:val="0"/>
              </w:numPr>
              <w:jc w:val="left"/>
              <w:keepNext w:val="0"/>
              <w:spacing w:before="0" w:after="60"/>
              <w:widowControl/>
              <w:rPr>
                <w:rFonts w:eastAsia="Times New Roman"/>
                <w:b w:val="0"/>
                <w:lang w:val="ru-RU" w:eastAsia="ru-RU"/>
              </w:rPr>
              <w:outlineLvl w:val="2"/>
            </w:pPr>
            <w:r>
              <w:rPr>
                <w:rFonts w:eastAsia="Times New Roman"/>
                <w:b w:val="0"/>
                <w:sz w:val="20"/>
                <w:szCs w:val="20"/>
                <w:lang w:val="ru-RU" w:eastAsia="ru-RU" w:bidi="ar-SA"/>
              </w:rPr>
              <w:t xml:space="preserve">-</w:t>
            </w:r>
            <w:r>
              <w:rPr>
                <w:rFonts w:eastAsia="Times New Roman"/>
                <w:b w:val="0"/>
                <w:lang w:val="ru-RU" w:eastAsia="ru-RU"/>
              </w:rPr>
            </w:r>
            <w:r>
              <w:rPr>
                <w:rFonts w:eastAsia="Times New Roman"/>
                <w:b w:val="0"/>
                <w:lang w:val="ru-RU" w:eastAsia="ru-RU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940"/>
              <w:numPr>
                <w:ilvl w:val="0"/>
                <w:numId w:val="10"/>
              </w:numPr>
              <w:contextualSpacing/>
              <w:jc w:val="center"/>
              <w:spacing w:before="60" w:after="60"/>
              <w:widowControl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  <w:r>
              <w:rPr>
                <w:lang w:val="ru-RU" w:eastAsia="ru-RU" w:bidi="ar-SA"/>
              </w:rPr>
            </w:r>
          </w:p>
        </w:tc>
        <w:tc>
          <w:tcPr>
            <w:gridSpan w:val="2"/>
            <w:tcW w:w="8348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keepNext/>
              <w:spacing w:before="60" w:after="6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 w:eastAsia="ru-RU" w:bidi="ar-SA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left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   </w:t>
            </w:r>
            <w:r>
              <w:rPr>
                <w:sz w:val="24"/>
                <w:szCs w:val="24"/>
                <w:lang w:val="ru-RU" w:eastAsia="ru-RU" w:bidi="ar-SA"/>
              </w:rPr>
              <w:t xml:space="preserve">5.1.1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обязательствам подрядчика подробно указаны в договоре подряда (</w:t>
            </w:r>
            <w:r>
              <w:rPr>
                <w:i/>
                <w:sz w:val="24"/>
                <w:szCs w:val="24"/>
                <w:lang w:val="ru-RU" w:eastAsia="ru-RU" w:bidi="ar-SA"/>
              </w:rPr>
              <w:t xml:space="preserve">раздел 2)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07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60" w:after="6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5.1.2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70" w:type="dxa"/>
            <w:textDirection w:val="lrTb"/>
            <w:noWrap w:val="false"/>
          </w:tcPr>
          <w:p>
            <w:pPr>
              <w:pStyle w:val="823"/>
              <w:jc w:val="left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178" w:type="dxa"/>
            <w:textDirection w:val="lrTb"/>
            <w:noWrap w:val="false"/>
          </w:tcPr>
          <w:p>
            <w:pPr>
              <w:pStyle w:val="823"/>
              <w:jc w:val="both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Требования к субподрядным организациям, привлекаемым к выполнению работ подробно указаны в проекте договора подряда, который включен в состав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180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lang w:val="ru-RU" w:eastAsia="ru-RU" w:bidi="ar-SA"/>
              </w:rPr>
              <w:t xml:space="preserve">Согласие с требованиями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52" w:type="dxa"/>
            <w:vAlign w:val="center"/>
            <w:textDirection w:val="lrTb"/>
            <w:noWrap w:val="false"/>
          </w:tcPr>
          <w:p>
            <w:pPr>
              <w:pStyle w:val="823"/>
              <w:jc w:val="center"/>
              <w:spacing w:before="0" w:after="0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ar-SA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23"/>
      </w:pPr>
      <w:r/>
      <w:r/>
    </w:p>
    <w:p>
      <w:pPr>
        <w:pStyle w:val="823"/>
        <w:jc w:val="center"/>
        <w:rPr>
          <w:b/>
          <w:i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24"/>
        <w:numPr>
          <w:ilvl w:val="0"/>
          <w:numId w:val="3"/>
        </w:numPr>
        <w:ind w:left="709" w:hanging="360"/>
        <w:rPr>
          <w:sz w:val="24"/>
        </w:rPr>
      </w:pPr>
      <w:r/>
      <w:bookmarkStart w:id="22" w:name="_Toc54646411"/>
      <w:r/>
      <w:bookmarkStart w:id="23" w:name="_Toc53393312"/>
      <w:r>
        <w:rPr>
          <w:sz w:val="24"/>
        </w:rPr>
        <w:t xml:space="preserve">Требования к документации по ценообразованию</w:t>
      </w:r>
      <w:bookmarkEnd w:id="23"/>
      <w:r>
        <w:rPr>
          <w:sz w:val="24"/>
        </w:rPr>
        <w:t xml:space="preserve"> на этапе закупки</w:t>
      </w:r>
      <w:bookmarkEnd w:id="22"/>
      <w:r>
        <w:rPr>
          <w:sz w:val="24"/>
        </w:rPr>
      </w:r>
      <w:r>
        <w:rPr>
          <w:sz w:val="24"/>
        </w:rPr>
      </w:r>
    </w:p>
    <w:p>
      <w:pPr>
        <w:pStyle w:val="823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3.1). 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3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3.2). Дополнительные документы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23"/>
        <w:ind w:firstLine="567"/>
        <w:jc w:val="both"/>
        <w:spacing w:before="120" w:after="120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4"/>
        <w:numPr>
          <w:ilvl w:val="0"/>
          <w:numId w:val="3"/>
        </w:numPr>
        <w:ind w:left="709" w:hanging="360"/>
        <w:jc w:val="center"/>
        <w:rPr>
          <w:sz w:val="24"/>
        </w:rPr>
      </w:pPr>
      <w:r/>
      <w:bookmarkStart w:id="24" w:name="_Toc54646412"/>
      <w:r>
        <w:rPr>
          <w:sz w:val="24"/>
        </w:rPr>
        <w:t xml:space="preserve">Требования к документации по ценообразованию на этапе заключения (исполнения) договора</w:t>
      </w:r>
      <w:bookmarkEnd w:id="24"/>
      <w:r>
        <w:rPr>
          <w:sz w:val="24"/>
        </w:rPr>
      </w:r>
      <w:r>
        <w:rPr>
          <w:sz w:val="24"/>
        </w:rPr>
      </w:r>
    </w:p>
    <w:p>
      <w:pPr>
        <w:pStyle w:val="823"/>
        <w:ind w:left="0" w:right="0" w:firstLine="567"/>
        <w:jc w:val="both"/>
        <w:spacing w:before="0" w:after="0"/>
        <w:widowControl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4.1. Требования к составлению сметной документации (на этапе исполнения договора):                                               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4.1.1. Сметная документация разрабатывается </w:t>
      </w:r>
      <w:r>
        <w:rPr>
          <w:rFonts w:eastAsia="Times New Roman" w:cs="Times New Roman"/>
          <w:bCs/>
          <w:i w:val="0"/>
          <w:iCs w:val="0"/>
          <w:spacing w:val="-5"/>
          <w:sz w:val="24"/>
          <w:szCs w:val="24"/>
          <w:lang w:bidi="ru-RU"/>
        </w:rPr>
        <w:t xml:space="preserve">Участником, с которым принято решение заключить договор</w:t>
      </w:r>
      <w:r>
        <w:rPr>
          <w:rFonts w:eastAsia="Times New Roman" w:cs="Times New Roman"/>
          <w:bCs w:val="0"/>
          <w:i w:val="0"/>
          <w:iCs w:val="0"/>
          <w:spacing w:val="-5"/>
          <w:sz w:val="24"/>
          <w:szCs w:val="24"/>
          <w:lang w:bidi="ru-RU"/>
        </w:rPr>
        <w:t xml:space="preserve"> на этапе заклю</w:t>
      </w:r>
      <w:r>
        <w:rPr>
          <w:rFonts w:cs="Times New Roman"/>
          <w:bCs w:val="0"/>
          <w:i w:val="0"/>
          <w:spacing w:val="-5"/>
          <w:sz w:val="24"/>
          <w:szCs w:val="24"/>
          <w:lang w:bidi="ru-RU"/>
        </w:rPr>
        <w:t xml:space="preserve">чения ( исполнения) договора в соответствие с требованиями по оформлению и составлению документации по ценообразованию ( Приложение №1 к настоящим ТТ);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23"/>
        <w:ind w:firstLine="0"/>
        <w:jc w:val="both"/>
        <w:rPr>
          <w:sz w:val="24"/>
          <w:szCs w:val="24"/>
          <w:u w:val="singl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4.1.2. Если стоимость по смете, ра</w:t>
      </w:r>
      <w:r>
        <w:rPr>
          <w:rFonts w:eastAsia="Times New Roman" w:cs="Times New Roman"/>
          <w:i w:val="0"/>
          <w:iCs w:val="0"/>
          <w:sz w:val="24"/>
          <w:szCs w:val="24"/>
        </w:rPr>
        <w:t xml:space="preserve">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уменьшения;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23"/>
        <w:ind w:left="0" w:right="0" w:firstLine="0"/>
        <w:jc w:val="both"/>
        <w:spacing w:before="0" w:after="120"/>
        <w:widowControl/>
        <w:rPr>
          <w:sz w:val="24"/>
          <w:szCs w:val="24"/>
          <w:highlight w:val="none"/>
        </w:rPr>
      </w:pPr>
      <w:r>
        <w:rPr>
          <w:rFonts w:eastAsia="Times New Roman" w:cs="Times New Roman"/>
          <w:i w:val="0"/>
          <w:iCs w:val="0"/>
          <w:sz w:val="24"/>
          <w:szCs w:val="24"/>
        </w:rPr>
        <w:t xml:space="preserve">4.1.3. 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23"/>
        <w:ind w:left="0" w:right="0" w:firstLine="0"/>
        <w:jc w:val="both"/>
        <w:spacing w:before="0" w:after="120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4"/>
        <w:numPr>
          <w:ilvl w:val="0"/>
          <w:numId w:val="3"/>
        </w:numPr>
        <w:rPr>
          <w:sz w:val="24"/>
        </w:rPr>
      </w:pPr>
      <w:r/>
      <w:bookmarkStart w:id="25" w:name="_Toc51339699"/>
      <w:r/>
      <w:bookmarkStart w:id="26" w:name="_Toc46743519"/>
      <w:r/>
      <w:bookmarkStart w:id="27" w:name="_Toc54646413"/>
      <w:r>
        <w:rPr>
          <w:sz w:val="24"/>
        </w:rPr>
        <w:t xml:space="preserve">Приложения</w:t>
      </w:r>
      <w:bookmarkEnd w:id="25"/>
      <w:r/>
      <w:bookmarkEnd w:id="26"/>
      <w:r/>
      <w:bookmarkEnd w:id="27"/>
      <w:r>
        <w:rPr>
          <w:sz w:val="24"/>
        </w:rPr>
      </w:r>
      <w:r>
        <w:rPr>
          <w:sz w:val="24"/>
        </w:rPr>
      </w:r>
    </w:p>
    <w:p>
      <w:pPr>
        <w:pStyle w:val="823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 Техническое задание на выполнение проектных работ;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3"/>
        <w:jc w:val="both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№2 Требования к оформлению и составлению документации по ценообразованию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23"/>
        <w:jc w:val="both"/>
        <w:spacing w:before="60" w:after="0" w:line="360" w:lineRule="auto"/>
        <w:widowControl w:val="off"/>
        <w:tabs>
          <w:tab w:val="left" w:pos="284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3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3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23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23"/>
        <w:ind w:left="284"/>
        <w:jc w:val="both"/>
        <w:spacing w:before="60" w:after="0" w:line="360" w:lineRule="auto"/>
        <w:widowControl w:val="off"/>
        <w:tabs>
          <w:tab w:val="left" w:pos="426" w:leader="none"/>
          <w:tab w:val="clear" w:pos="708" w:leader="none"/>
        </w:tabs>
        <w:rPr>
          <w:sz w:val="24"/>
          <w:szCs w:val="24"/>
        </w:rPr>
      </w:pPr>
      <w:r>
        <w:rPr>
          <w:sz w:val="24"/>
          <w:szCs w:val="24"/>
        </w:rPr>
      </w:r>
      <w:bookmarkStart w:id="29" w:name="_GoBack"/>
      <w:r/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 Light">
    <w:panose1 w:val="020F0502020204030204"/>
  </w:font>
  <w:font w:name="Symbol">
    <w:panose1 w:val="05010000000000000000"/>
  </w:font>
  <w:font w:name="Wingdings">
    <w:panose1 w:val="05010000000000000000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Open Sans">
    <w:panose1 w:val="020B0606030504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14"/>
                            <w:rPr>
                              <w:rStyle w:val="85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856"/>
                            </w:rPr>
                            <w:fldChar w:fldCharType="begin"/>
                          </w:r>
                          <w:r>
                            <w:rPr>
                              <w:rStyle w:val="856"/>
                            </w:rPr>
                            <w:instrText xml:space="preserve"> PAGE </w:instrText>
                          </w:r>
                          <w:r>
                            <w:rPr>
                              <w:rStyle w:val="856"/>
                            </w:rPr>
                            <w:fldChar w:fldCharType="separate"/>
                          </w:r>
                          <w:r>
                            <w:rPr>
                              <w:rStyle w:val="856"/>
                            </w:rPr>
                            <w:t xml:space="preserve">0</w:t>
                          </w:r>
                          <w:r>
                            <w:rPr>
                              <w:rStyle w:val="856"/>
                            </w:rPr>
                            <w:fldChar w:fldCharType="end"/>
                          </w:r>
                          <w:r>
                            <w:rPr>
                              <w:rStyle w:val="856"/>
                            </w:rPr>
                          </w:r>
                          <w:r>
                            <w:rPr>
                              <w:rStyle w:val="856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14"/>
                      <w:rPr>
                        <w:rStyle w:val="856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856"/>
                      </w:rPr>
                      <w:fldChar w:fldCharType="begin"/>
                    </w:r>
                    <w:r>
                      <w:rPr>
                        <w:rStyle w:val="856"/>
                      </w:rPr>
                      <w:instrText xml:space="preserve"> PAGE </w:instrText>
                    </w:r>
                    <w:r>
                      <w:rPr>
                        <w:rStyle w:val="856"/>
                      </w:rPr>
                      <w:fldChar w:fldCharType="separate"/>
                    </w:r>
                    <w:r>
                      <w:rPr>
                        <w:rStyle w:val="856"/>
                      </w:rPr>
                      <w:t xml:space="preserve">0</w:t>
                    </w:r>
                    <w:r>
                      <w:rPr>
                        <w:rStyle w:val="856"/>
                      </w:rPr>
                      <w:fldChar w:fldCharType="end"/>
                    </w:r>
                    <w:r>
                      <w:rPr>
                        <w:rStyle w:val="856"/>
                      </w:rPr>
                    </w:r>
                    <w:r>
                      <w:rPr>
                        <w:rStyle w:val="856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</w:t>
    </w:r>
    <w:r>
      <w:fldChar w:fldCharType="end"/>
    </w:r>
    <w:r/>
  </w:p>
  <w:p>
    <w:pPr>
      <w:pStyle w:val="91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/>
  </w:p>
  <w:p>
    <w:pPr>
      <w:pStyle w:val="914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18</w:t>
    </w:r>
    <w:r>
      <w:fldChar w:fldCharType="end"/>
    </w:r>
    <w:r/>
  </w:p>
  <w:p>
    <w:pPr>
      <w:pStyle w:val="91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0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90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">
    <w:multiLevelType w:val="hybridMultilevel"/>
    <w:lvl w:ilvl="0">
      <w:start w:val="4"/>
      <w:numFmt w:val="bullet"/>
      <w:pStyle w:val="948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pStyle w:val="949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pStyle w:val="947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26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pStyle w:val="958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pStyle w:val="959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pStyle w:val="962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pStyle w:val="960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pStyle w:val="961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965"/>
      <w:isLgl w:val="false"/>
      <w:suff w:val="tab"/>
      <w:lvlText w:val="1.%1"/>
      <w:lvlJc w:val="left"/>
      <w:pPr>
        <w:ind w:left="142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3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8"/>
      <w:szCs w:val="28"/>
      <w:lang w:val="ru-RU" w:eastAsia="ru-RU" w:bidi="ar-SA"/>
    </w:rPr>
  </w:style>
  <w:style w:type="paragraph" w:styleId="824">
    <w:name w:val="Heading 1"/>
    <w:basedOn w:val="826"/>
    <w:next w:val="823"/>
    <w:link w:val="863"/>
    <w:qFormat/>
    <w:pPr>
      <w:outlineLvl w:val="0"/>
    </w:pPr>
    <w:rPr>
      <w:sz w:val="28"/>
      <w:szCs w:val="28"/>
    </w:rPr>
  </w:style>
  <w:style w:type="paragraph" w:styleId="825">
    <w:name w:val="Heading 2"/>
    <w:basedOn w:val="827"/>
    <w:next w:val="823"/>
    <w:link w:val="864"/>
    <w:qFormat/>
    <w:pPr>
      <w:outlineLvl w:val="1"/>
    </w:pPr>
  </w:style>
  <w:style w:type="paragraph" w:styleId="826">
    <w:name w:val="Heading 3"/>
    <w:basedOn w:val="823"/>
    <w:next w:val="823"/>
    <w:link w:val="865"/>
    <w:qFormat/>
    <w:pPr>
      <w:numPr>
        <w:ilvl w:val="2"/>
        <w:numId w:val="3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27">
    <w:name w:val="Heading 4"/>
    <w:basedOn w:val="826"/>
    <w:next w:val="823"/>
    <w:link w:val="866"/>
    <w:qFormat/>
    <w:pPr>
      <w:outlineLvl w:val="3"/>
    </w:pPr>
    <w:rPr>
      <w:bCs/>
    </w:rPr>
  </w:style>
  <w:style w:type="paragraph" w:styleId="828">
    <w:name w:val="Heading 5"/>
    <w:basedOn w:val="823"/>
    <w:next w:val="823"/>
    <w:link w:val="86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29">
    <w:name w:val="Heading 6"/>
    <w:basedOn w:val="823"/>
    <w:next w:val="823"/>
    <w:link w:val="860"/>
    <w:uiPriority w:val="9"/>
    <w:qFormat/>
    <w:pPr>
      <w:keepLines/>
      <w:keepNext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30">
    <w:name w:val="Heading 7"/>
    <w:basedOn w:val="823"/>
    <w:next w:val="823"/>
    <w:link w:val="861"/>
    <w:uiPriority w:val="9"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31">
    <w:name w:val="Heading 8"/>
    <w:basedOn w:val="823"/>
    <w:next w:val="823"/>
    <w:link w:val="862"/>
    <w:uiPriority w:val="9"/>
    <w:qFormat/>
    <w:pPr>
      <w:keepLines/>
      <w:keepNext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832">
    <w:name w:val="Heading 9"/>
    <w:basedOn w:val="823"/>
    <w:next w:val="823"/>
    <w:link w:val="868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33" w:default="1">
    <w:name w:val="Default Paragraph Font"/>
    <w:uiPriority w:val="1"/>
    <w:semiHidden/>
    <w:unhideWhenUsed/>
    <w:qFormat/>
  </w:style>
  <w:style w:type="character" w:styleId="834" w:customStyle="1">
    <w:name w:val="Title Char"/>
    <w:basedOn w:val="833"/>
    <w:uiPriority w:val="10"/>
    <w:qFormat/>
    <w:rPr>
      <w:sz w:val="48"/>
      <w:szCs w:val="48"/>
    </w:rPr>
  </w:style>
  <w:style w:type="character" w:styleId="835" w:customStyle="1">
    <w:name w:val="Caption Char"/>
    <w:uiPriority w:val="99"/>
    <w:qFormat/>
  </w:style>
  <w:style w:type="character" w:styleId="836" w:customStyle="1">
    <w:name w:val="Heading 1 Char"/>
    <w:basedOn w:val="833"/>
    <w:uiPriority w:val="9"/>
    <w:qFormat/>
    <w:rPr>
      <w:rFonts w:ascii="Arial" w:hAnsi="Arial" w:eastAsia="Arial" w:cs="Arial"/>
      <w:sz w:val="40"/>
      <w:szCs w:val="40"/>
    </w:rPr>
  </w:style>
  <w:style w:type="character" w:styleId="837" w:customStyle="1">
    <w:name w:val="Heading 2 Char"/>
    <w:basedOn w:val="833"/>
    <w:uiPriority w:val="9"/>
    <w:qFormat/>
    <w:rPr>
      <w:rFonts w:ascii="Arial" w:hAnsi="Arial" w:eastAsia="Arial" w:cs="Arial"/>
      <w:sz w:val="34"/>
    </w:rPr>
  </w:style>
  <w:style w:type="character" w:styleId="838" w:customStyle="1">
    <w:name w:val="Heading 3 Char"/>
    <w:basedOn w:val="833"/>
    <w:uiPriority w:val="9"/>
    <w:qFormat/>
    <w:rPr>
      <w:rFonts w:ascii="Arial" w:hAnsi="Arial" w:eastAsia="Arial" w:cs="Arial"/>
      <w:sz w:val="30"/>
      <w:szCs w:val="30"/>
    </w:rPr>
  </w:style>
  <w:style w:type="character" w:styleId="839" w:customStyle="1">
    <w:name w:val="Heading 4 Char"/>
    <w:basedOn w:val="833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40" w:customStyle="1">
    <w:name w:val="Heading 5 Char"/>
    <w:basedOn w:val="833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41" w:customStyle="1">
    <w:name w:val="Heading 6 Char"/>
    <w:basedOn w:val="83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42" w:customStyle="1">
    <w:name w:val="Heading 7 Char"/>
    <w:basedOn w:val="83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43" w:customStyle="1">
    <w:name w:val="Heading 8 Char"/>
    <w:basedOn w:val="833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44" w:customStyle="1">
    <w:name w:val="Heading 9 Char"/>
    <w:basedOn w:val="83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45" w:customStyle="1">
    <w:name w:val="Заголовок Знак"/>
    <w:basedOn w:val="833"/>
    <w:uiPriority w:val="10"/>
    <w:qFormat/>
    <w:rPr>
      <w:sz w:val="48"/>
      <w:szCs w:val="48"/>
    </w:rPr>
  </w:style>
  <w:style w:type="character" w:styleId="846" w:customStyle="1">
    <w:name w:val="Subtitle Char"/>
    <w:basedOn w:val="833"/>
    <w:uiPriority w:val="11"/>
    <w:qFormat/>
    <w:rPr>
      <w:sz w:val="24"/>
      <w:szCs w:val="24"/>
    </w:rPr>
  </w:style>
  <w:style w:type="character" w:styleId="847" w:customStyle="1">
    <w:name w:val="Quote Char"/>
    <w:uiPriority w:val="29"/>
    <w:qFormat/>
    <w:rPr>
      <w:i/>
    </w:rPr>
  </w:style>
  <w:style w:type="character" w:styleId="848" w:customStyle="1">
    <w:name w:val="Intense Quote Char"/>
    <w:uiPriority w:val="30"/>
    <w:qFormat/>
    <w:rPr>
      <w:i/>
    </w:rPr>
  </w:style>
  <w:style w:type="character" w:styleId="849" w:customStyle="1">
    <w:name w:val="Header Char"/>
    <w:basedOn w:val="833"/>
    <w:uiPriority w:val="99"/>
    <w:qFormat/>
  </w:style>
  <w:style w:type="character" w:styleId="850" w:customStyle="1">
    <w:name w:val="Footer Char"/>
    <w:basedOn w:val="833"/>
    <w:uiPriority w:val="99"/>
    <w:qFormat/>
  </w:style>
  <w:style w:type="character" w:styleId="851" w:customStyle="1">
    <w:name w:val="Нижний колонтитул Знак"/>
    <w:uiPriority w:val="99"/>
    <w:qFormat/>
  </w:style>
  <w:style w:type="character" w:styleId="852" w:customStyle="1">
    <w:name w:val="Footnote Text Char"/>
    <w:uiPriority w:val="99"/>
    <w:qFormat/>
    <w:rPr>
      <w:sz w:val="18"/>
    </w:rPr>
  </w:style>
  <w:style w:type="character" w:styleId="853" w:customStyle="1">
    <w:name w:val="Endnote Text Char"/>
    <w:uiPriority w:val="99"/>
    <w:qFormat/>
    <w:rPr>
      <w:sz w:val="20"/>
    </w:rPr>
  </w:style>
  <w:style w:type="character" w:styleId="854">
    <w:name w:val="Символ сноски"/>
    <w:qFormat/>
    <w:rPr>
      <w:vertAlign w:val="superscript"/>
    </w:rPr>
  </w:style>
  <w:style w:type="character" w:styleId="855">
    <w:name w:val="footnote reference"/>
    <w:rPr>
      <w:vertAlign w:val="superscript"/>
    </w:rPr>
  </w:style>
  <w:style w:type="character" w:styleId="856">
    <w:name w:val="page number"/>
    <w:basedOn w:val="833"/>
    <w:qFormat/>
  </w:style>
  <w:style w:type="character" w:styleId="857">
    <w:name w:val="Hyperlink"/>
    <w:uiPriority w:val="99"/>
    <w:rPr>
      <w:color w:val="0000ff"/>
      <w:u w:val="single"/>
    </w:rPr>
  </w:style>
  <w:style w:type="character" w:styleId="858">
    <w:name w:val="annotation reference"/>
    <w:uiPriority w:val="99"/>
    <w:semiHidden/>
    <w:qFormat/>
    <w:rPr>
      <w:sz w:val="16"/>
      <w:szCs w:val="16"/>
    </w:rPr>
  </w:style>
  <w:style w:type="character" w:styleId="859">
    <w:name w:val="Strong"/>
    <w:qFormat/>
    <w:rPr>
      <w:b/>
      <w:bCs/>
    </w:rPr>
  </w:style>
  <w:style w:type="character" w:styleId="860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861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62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863" w:customStyle="1">
    <w:name w:val="Заголовок 1 Знак"/>
    <w:qFormat/>
    <w:rPr>
      <w:rFonts w:eastAsia="Calibri"/>
      <w:b/>
      <w:sz w:val="28"/>
      <w:szCs w:val="28"/>
    </w:rPr>
  </w:style>
  <w:style w:type="character" w:styleId="864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865" w:customStyle="1">
    <w:name w:val="Заголовок 3 Знак"/>
    <w:qFormat/>
    <w:rPr>
      <w:rFonts w:eastAsia="Calibri"/>
      <w:b/>
      <w:sz w:val="24"/>
      <w:szCs w:val="24"/>
    </w:rPr>
  </w:style>
  <w:style w:type="character" w:styleId="866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867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868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869" w:customStyle="1">
    <w:name w:val="Название Знак"/>
    <w:link w:val="912"/>
    <w:uiPriority w:val="10"/>
    <w:qFormat/>
    <w:rPr>
      <w:sz w:val="28"/>
    </w:rPr>
  </w:style>
  <w:style w:type="character" w:styleId="870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871">
    <w:name w:val="Emphasis"/>
    <w:uiPriority w:val="20"/>
    <w:qFormat/>
    <w:rPr>
      <w:i/>
      <w:iCs/>
    </w:rPr>
  </w:style>
  <w:style w:type="character" w:styleId="872" w:customStyle="1">
    <w:name w:val="Цитата 2 Знак"/>
    <w:link w:val="941"/>
    <w:uiPriority w:val="29"/>
    <w:qFormat/>
    <w:rPr>
      <w:rFonts w:ascii="Calibri" w:hAnsi="Calibri" w:eastAsia="Calibri"/>
      <w:i/>
      <w:iCs/>
      <w:color w:val="000000"/>
    </w:rPr>
  </w:style>
  <w:style w:type="character" w:styleId="873" w:customStyle="1">
    <w:name w:val="Выделенная цитата Знак"/>
    <w:link w:val="942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874">
    <w:name w:val="Subtle Emphasis"/>
    <w:uiPriority w:val="19"/>
    <w:qFormat/>
    <w:rPr>
      <w:i/>
      <w:iCs/>
      <w:color w:val="808080"/>
    </w:rPr>
  </w:style>
  <w:style w:type="character" w:styleId="875">
    <w:name w:val="Intense Emphasis"/>
    <w:uiPriority w:val="21"/>
    <w:qFormat/>
    <w:rPr>
      <w:b/>
      <w:bCs/>
      <w:i/>
      <w:iCs/>
      <w:color w:val="4f81bd"/>
    </w:rPr>
  </w:style>
  <w:style w:type="character" w:styleId="876">
    <w:name w:val="Subtle Reference"/>
    <w:uiPriority w:val="31"/>
    <w:qFormat/>
    <w:rPr>
      <w:smallCaps/>
      <w:color w:val="c0504d"/>
      <w:u w:val="single"/>
    </w:rPr>
  </w:style>
  <w:style w:type="character" w:styleId="87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878">
    <w:name w:val="Book Title"/>
    <w:uiPriority w:val="33"/>
    <w:qFormat/>
    <w:rPr>
      <w:b/>
      <w:bCs/>
      <w:smallCaps/>
      <w:spacing w:val="5"/>
    </w:rPr>
  </w:style>
  <w:style w:type="character" w:styleId="879" w:customStyle="1">
    <w:name w:val="Электронная подпись Знак"/>
    <w:link w:val="945"/>
    <w:uiPriority w:val="99"/>
    <w:qFormat/>
    <w:rPr>
      <w:rFonts w:eastAsia="Calibri"/>
      <w:sz w:val="24"/>
      <w:szCs w:val="24"/>
    </w:rPr>
  </w:style>
  <w:style w:type="character" w:styleId="880" w:customStyle="1">
    <w:name w:val="Подпункт Знак1"/>
    <w:link w:val="922"/>
    <w:qFormat/>
    <w:rPr>
      <w:sz w:val="28"/>
    </w:rPr>
  </w:style>
  <w:style w:type="character" w:styleId="881" w:customStyle="1">
    <w:name w:val="Текст сноски Знак"/>
    <w:uiPriority w:val="99"/>
    <w:qFormat/>
  </w:style>
  <w:style w:type="character" w:styleId="882" w:customStyle="1">
    <w:name w:val="Основной текст Знак"/>
    <w:qFormat/>
    <w:rPr>
      <w:sz w:val="28"/>
      <w:szCs w:val="28"/>
    </w:rPr>
  </w:style>
  <w:style w:type="character" w:styleId="883" w:customStyle="1">
    <w:name w:val="blk"/>
    <w:qFormat/>
  </w:style>
  <w:style w:type="character" w:styleId="884" w:customStyle="1">
    <w:name w:val="Абзац списка Знак"/>
    <w:link w:val="940"/>
    <w:uiPriority w:val="34"/>
    <w:qFormat/>
    <w:rPr>
      <w:rFonts w:eastAsia="Calibri"/>
      <w:sz w:val="24"/>
      <w:szCs w:val="24"/>
    </w:rPr>
  </w:style>
  <w:style w:type="character" w:styleId="885" w:customStyle="1">
    <w:name w:val="комментарий"/>
    <w:qFormat/>
    <w:rPr>
      <w:b/>
      <w:i/>
      <w:shd w:val="clear" w:color="auto" w:fill="ffff99"/>
    </w:rPr>
  </w:style>
  <w:style w:type="character" w:styleId="886" w:customStyle="1">
    <w:name w:val="Подподпункт Знак"/>
    <w:link w:val="957"/>
    <w:qFormat/>
    <w:rPr>
      <w:sz w:val="26"/>
      <w:szCs w:val="26"/>
    </w:rPr>
  </w:style>
  <w:style w:type="character" w:styleId="887" w:customStyle="1">
    <w:name w:val="УРОВЕНЬ_Абзац_тип3 Знак"/>
    <w:link w:val="961"/>
    <w:qFormat/>
    <w:rPr>
      <w:rFonts w:eastAsia="Calibri"/>
      <w:sz w:val="26"/>
      <w:szCs w:val="28"/>
      <w:lang w:eastAsia="en-US"/>
    </w:rPr>
  </w:style>
  <w:style w:type="character" w:styleId="888" w:customStyle="1">
    <w:name w:val="Верхний колонтитул Знак"/>
    <w:uiPriority w:val="99"/>
    <w:qFormat/>
    <w:rPr>
      <w:sz w:val="24"/>
      <w:szCs w:val="24"/>
    </w:rPr>
  </w:style>
  <w:style w:type="character" w:styleId="889" w:customStyle="1">
    <w:name w:val="Текст примечания Знак"/>
    <w:link w:val="930"/>
    <w:qFormat/>
  </w:style>
  <w:style w:type="character" w:styleId="890" w:customStyle="1">
    <w:name w:val="Текст концевой сноски Знак"/>
    <w:basedOn w:val="833"/>
    <w:qFormat/>
  </w:style>
  <w:style w:type="character" w:styleId="891">
    <w:name w:val="Символ концевой сноски"/>
    <w:basedOn w:val="833"/>
    <w:qFormat/>
    <w:rPr>
      <w:vertAlign w:val="superscript"/>
    </w:rPr>
  </w:style>
  <w:style w:type="character" w:styleId="892">
    <w:name w:val="endnote reference"/>
    <w:rPr>
      <w:vertAlign w:val="superscript"/>
    </w:rPr>
  </w:style>
  <w:style w:type="character" w:styleId="893" w:customStyle="1">
    <w:name w:val="Пункт2 Знак"/>
    <w:link w:val="923"/>
    <w:qFormat/>
    <w:rPr>
      <w:b/>
      <w:sz w:val="28"/>
    </w:rPr>
  </w:style>
  <w:style w:type="character" w:styleId="894" w:customStyle="1">
    <w:name w:val="УРОВЕНЬ_1. Знак"/>
    <w:link w:val="968"/>
    <w:qFormat/>
    <w:rPr>
      <w:rFonts w:eastAsia="Calibri"/>
      <w:caps/>
      <w:sz w:val="28"/>
      <w:szCs w:val="28"/>
      <w:lang w:eastAsia="en-US"/>
    </w:rPr>
  </w:style>
  <w:style w:type="character" w:styleId="895" w:customStyle="1">
    <w:name w:val="Неразрешенное упоминание1"/>
    <w:basedOn w:val="833"/>
    <w:uiPriority w:val="99"/>
    <w:semiHidden/>
    <w:unhideWhenUsed/>
    <w:qFormat/>
    <w:rPr>
      <w:color w:val="605e5c"/>
      <w:shd w:val="clear" w:color="auto" w:fill="e1dfdd"/>
    </w:rPr>
  </w:style>
  <w:style w:type="character" w:styleId="896" w:customStyle="1">
    <w:name w:val="Основной текст с отступом 3 Знак"/>
    <w:link w:val="919"/>
    <w:qFormat/>
    <w:rPr>
      <w:sz w:val="16"/>
      <w:szCs w:val="16"/>
    </w:rPr>
  </w:style>
  <w:style w:type="character" w:styleId="897" w:customStyle="1">
    <w:name w:val="Основной текст (2)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eastAsia="ru-RU" w:bidi="ru-RU"/>
    </w:rPr>
  </w:style>
  <w:style w:type="paragraph" w:styleId="898">
    <w:name w:val="Заголовок"/>
    <w:basedOn w:val="823"/>
    <w:next w:val="899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99">
    <w:name w:val="Body Text"/>
    <w:basedOn w:val="823"/>
    <w:link w:val="882"/>
    <w:pPr>
      <w:spacing w:before="0" w:after="120"/>
    </w:pPr>
  </w:style>
  <w:style w:type="paragraph" w:styleId="900">
    <w:name w:val="List"/>
    <w:basedOn w:val="899"/>
    <w:rPr>
      <w:rFonts w:cs="Lohit Devanagari"/>
    </w:rPr>
  </w:style>
  <w:style w:type="paragraph" w:styleId="901">
    <w:name w:val="Caption"/>
    <w:basedOn w:val="823"/>
    <w:next w:val="823"/>
    <w:link w:val="835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02">
    <w:name w:val="Указатель"/>
    <w:basedOn w:val="823"/>
    <w:qFormat/>
    <w:pPr>
      <w:suppressLineNumbers/>
    </w:pPr>
    <w:rPr>
      <w:rFonts w:cs="Lohit Devanagari"/>
    </w:rPr>
  </w:style>
  <w:style w:type="paragraph" w:styleId="903">
    <w:name w:val="Title"/>
    <w:basedOn w:val="823"/>
    <w:next w:val="823"/>
    <w:link w:val="84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04">
    <w:name w:val="table of figures"/>
    <w:basedOn w:val="823"/>
    <w:next w:val="823"/>
    <w:uiPriority w:val="99"/>
    <w:unhideWhenUsed/>
  </w:style>
  <w:style w:type="paragraph" w:styleId="905" w:customStyle="1">
    <w:name w:val="Название раздела инструкции"/>
    <w:basedOn w:val="823"/>
    <w:qFormat/>
    <w:pPr>
      <w:jc w:val="center"/>
    </w:pPr>
    <w:rPr>
      <w:b/>
    </w:rPr>
  </w:style>
  <w:style w:type="paragraph" w:styleId="906" w:customStyle="1">
    <w:name w:val="Раздел положения"/>
    <w:basedOn w:val="823"/>
    <w:qFormat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7" w:customStyle="1">
    <w:name w:val="Подраздел раздела положения"/>
    <w:basedOn w:val="823"/>
    <w:qFormat/>
    <w:pPr>
      <w:numPr>
        <w:ilvl w:val="1"/>
        <w:numId w:val="1"/>
      </w:numPr>
      <w:jc w:val="both"/>
      <w:spacing w:before="80" w:after="80"/>
    </w:pPr>
  </w:style>
  <w:style w:type="paragraph" w:styleId="908">
    <w:name w:val="footnote text"/>
    <w:basedOn w:val="823"/>
    <w:link w:val="881"/>
    <w:uiPriority w:val="99"/>
    <w:rPr>
      <w:sz w:val="20"/>
      <w:szCs w:val="20"/>
    </w:rPr>
  </w:style>
  <w:style w:type="paragraph" w:styleId="909" w:customStyle="1">
    <w:name w:val="Шапка 1"/>
    <w:basedOn w:val="823"/>
    <w:qFormat/>
    <w:pPr>
      <w:jc w:val="center"/>
      <w:spacing w:before="0" w:after="240"/>
      <w:pBdr>
        <w:bottom w:val="single" w:color="000000" w:sz="24" w:space="1"/>
      </w:pBdr>
    </w:pPr>
    <w:rPr>
      <w:sz w:val="22"/>
      <w:szCs w:val="22"/>
    </w:rPr>
  </w:style>
  <w:style w:type="paragraph" w:styleId="910" w:customStyle="1">
    <w:name w:val="Шапка 2"/>
    <w:basedOn w:val="823"/>
    <w:qFormat/>
    <w:pPr>
      <w:jc w:val="center"/>
      <w:spacing w:before="0"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1" w:customStyle="1">
    <w:name w:val="Шапка 3"/>
    <w:basedOn w:val="823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2" w:customStyle="1">
    <w:name w:val="Название1"/>
    <w:basedOn w:val="823"/>
    <w:link w:val="869"/>
    <w:uiPriority w:val="10"/>
    <w:qFormat/>
    <w:pPr>
      <w:jc w:val="center"/>
    </w:pPr>
    <w:rPr>
      <w:szCs w:val="20"/>
    </w:rPr>
  </w:style>
  <w:style w:type="paragraph" w:styleId="913">
    <w:name w:val="Колонтитул"/>
    <w:basedOn w:val="823"/>
    <w:qFormat/>
  </w:style>
  <w:style w:type="paragraph" w:styleId="914">
    <w:name w:val="Header"/>
    <w:basedOn w:val="823"/>
    <w:link w:val="888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5">
    <w:name w:val="Body Text Indent"/>
    <w:basedOn w:val="823"/>
    <w:pPr>
      <w:ind w:left="360"/>
    </w:pPr>
    <w:rPr>
      <w:sz w:val="24"/>
      <w:szCs w:val="24"/>
    </w:rPr>
  </w:style>
  <w:style w:type="paragraph" w:styleId="916">
    <w:name w:val="Footer"/>
    <w:basedOn w:val="823"/>
    <w:link w:val="851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917">
    <w:name w:val="Body Text Indent 2"/>
    <w:basedOn w:val="823"/>
    <w:qFormat/>
    <w:pPr>
      <w:ind w:left="283"/>
      <w:spacing w:before="0" w:after="120" w:line="480" w:lineRule="auto"/>
    </w:pPr>
  </w:style>
  <w:style w:type="paragraph" w:styleId="918">
    <w:name w:val="Body Text 3"/>
    <w:basedOn w:val="823"/>
    <w:qFormat/>
    <w:pPr>
      <w:spacing w:before="0" w:after="120"/>
    </w:pPr>
    <w:rPr>
      <w:sz w:val="16"/>
      <w:szCs w:val="16"/>
    </w:rPr>
  </w:style>
  <w:style w:type="paragraph" w:styleId="919">
    <w:name w:val="Body Text Indent 3"/>
    <w:basedOn w:val="823"/>
    <w:link w:val="896"/>
    <w:qFormat/>
    <w:pPr>
      <w:ind w:left="283"/>
      <w:spacing w:before="0" w:after="120"/>
    </w:pPr>
    <w:rPr>
      <w:sz w:val="16"/>
      <w:szCs w:val="16"/>
    </w:rPr>
  </w:style>
  <w:style w:type="paragraph" w:styleId="920">
    <w:name w:val="Body Text 2"/>
    <w:basedOn w:val="823"/>
    <w:qFormat/>
    <w:pPr>
      <w:spacing w:before="0" w:after="120" w:line="480" w:lineRule="auto"/>
    </w:pPr>
  </w:style>
  <w:style w:type="paragraph" w:styleId="921">
    <w:name w:val="Block Text"/>
    <w:basedOn w:val="823"/>
    <w:qFormat/>
    <w:pPr>
      <w:ind w:left="-567" w:right="-766"/>
      <w:jc w:val="center"/>
    </w:pPr>
    <w:rPr>
      <w:b/>
      <w:bCs/>
      <w:sz w:val="24"/>
      <w:szCs w:val="20"/>
    </w:rPr>
  </w:style>
  <w:style w:type="paragraph" w:styleId="922" w:customStyle="1">
    <w:name w:val="Подпункт"/>
    <w:basedOn w:val="823"/>
    <w:link w:val="880"/>
    <w:qFormat/>
    <w:pPr>
      <w:ind w:left="1134" w:hanging="1134"/>
      <w:jc w:val="both"/>
      <w:spacing w:line="360" w:lineRule="auto"/>
      <w:tabs>
        <w:tab w:val="clear" w:pos="708" w:leader="none"/>
        <w:tab w:val="left" w:pos="1134" w:leader="none"/>
      </w:tabs>
    </w:pPr>
    <w:rPr>
      <w:szCs w:val="20"/>
    </w:rPr>
  </w:style>
  <w:style w:type="paragraph" w:styleId="923" w:customStyle="1">
    <w:name w:val="Пункт2"/>
    <w:basedOn w:val="823"/>
    <w:link w:val="893"/>
    <w:qFormat/>
    <w:pPr>
      <w:ind w:left="1134" w:hanging="1134"/>
      <w:keepNext/>
      <w:spacing w:before="240" w:after="120"/>
      <w:tabs>
        <w:tab w:val="clear" w:pos="708" w:leader="none"/>
        <w:tab w:val="left" w:pos="1134" w:leader="none"/>
      </w:tabs>
      <w:outlineLvl w:val="2"/>
    </w:pPr>
    <w:rPr>
      <w:b/>
      <w:szCs w:val="20"/>
    </w:rPr>
  </w:style>
  <w:style w:type="paragraph" w:styleId="924">
    <w:name w:val="toc 1"/>
    <w:basedOn w:val="823"/>
    <w:next w:val="823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925">
    <w:name w:val="toc 3"/>
    <w:basedOn w:val="823"/>
    <w:next w:val="823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26" w:customStyle="1">
    <w:name w:val="Раздел регламента"/>
    <w:basedOn w:val="823"/>
    <w:qFormat/>
  </w:style>
  <w:style w:type="paragraph" w:styleId="927" w:customStyle="1">
    <w:name w:val="Приложение к регламенту"/>
    <w:basedOn w:val="823"/>
    <w:qFormat/>
    <w:pPr>
      <w:jc w:val="right"/>
    </w:pPr>
  </w:style>
  <w:style w:type="paragraph" w:styleId="928">
    <w:name w:val="toc 2"/>
    <w:basedOn w:val="823"/>
    <w:next w:val="823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929">
    <w:name w:val="Balloon Text"/>
    <w:basedOn w:val="823"/>
    <w:semiHidden/>
    <w:qFormat/>
    <w:rPr>
      <w:rFonts w:ascii="Tahoma" w:hAnsi="Tahoma" w:cs="Tahoma"/>
      <w:sz w:val="16"/>
      <w:szCs w:val="16"/>
    </w:rPr>
  </w:style>
  <w:style w:type="paragraph" w:styleId="930">
    <w:name w:val="annotation text"/>
    <w:basedOn w:val="823"/>
    <w:link w:val="889"/>
    <w:qFormat/>
    <w:rPr>
      <w:sz w:val="20"/>
      <w:szCs w:val="20"/>
    </w:rPr>
  </w:style>
  <w:style w:type="paragraph" w:styleId="931">
    <w:name w:val="annotation subject"/>
    <w:basedOn w:val="930"/>
    <w:next w:val="930"/>
    <w:semiHidden/>
    <w:qFormat/>
    <w:rPr>
      <w:b/>
      <w:bCs/>
    </w:rPr>
  </w:style>
  <w:style w:type="paragraph" w:styleId="932" w:customStyle="1">
    <w:name w:val="Обычный (веб)1"/>
    <w:basedOn w:val="823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33">
    <w:name w:val="toc 9"/>
    <w:basedOn w:val="823"/>
    <w:next w:val="823"/>
    <w:semiHidden/>
    <w:pPr>
      <w:ind w:left="196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34">
    <w:name w:val="toc 5"/>
    <w:basedOn w:val="823"/>
    <w:next w:val="823"/>
    <w:semiHidden/>
    <w:pPr>
      <w:ind w:left="84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35">
    <w:name w:val="toc 4"/>
    <w:basedOn w:val="823"/>
    <w:next w:val="823"/>
    <w:uiPriority w:val="39"/>
    <w:pPr>
      <w:tabs>
        <w:tab w:val="clear" w:pos="708" w:leader="none"/>
        <w:tab w:val="left" w:pos="1120" w:leader="none"/>
        <w:tab w:val="right" w:pos="9911" w:leader="dot"/>
      </w:tabs>
    </w:pPr>
    <w:rPr>
      <w:rFonts w:cs="Calibri" w:cstheme="minorHAnsi"/>
      <w:sz w:val="20"/>
      <w:szCs w:val="20"/>
    </w:rPr>
  </w:style>
  <w:style w:type="paragraph" w:styleId="936" w:customStyle="1">
    <w:name w:val="Раздел положения 2"/>
    <w:basedOn w:val="823"/>
    <w:qFormat/>
    <w:pPr>
      <w:jc w:val="both"/>
      <w:pageBreakBefore/>
      <w:outlineLvl w:val="0"/>
    </w:pPr>
    <w:rPr>
      <w:b/>
    </w:rPr>
  </w:style>
  <w:style w:type="paragraph" w:styleId="937" w:customStyle="1">
    <w:name w:val="Знак Знак Знак Знак Знак Знак Знак Знак Знак"/>
    <w:basedOn w:val="823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38">
    <w:name w:val="No Spacing"/>
    <w:basedOn w:val="82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9">
    <w:name w:val="Subtitle"/>
    <w:basedOn w:val="823"/>
    <w:next w:val="823"/>
    <w:link w:val="870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40">
    <w:name w:val="List Paragraph"/>
    <w:basedOn w:val="823"/>
    <w:link w:val="884"/>
    <w:uiPriority w:val="34"/>
    <w:qFormat/>
    <w:pPr>
      <w:contextualSpacing/>
      <w:ind w:left="720"/>
      <w:spacing w:before="0" w:after="0"/>
    </w:pPr>
    <w:rPr>
      <w:rFonts w:eastAsia="Calibri"/>
      <w:sz w:val="24"/>
      <w:szCs w:val="24"/>
    </w:rPr>
  </w:style>
  <w:style w:type="paragraph" w:styleId="941">
    <w:name w:val="Quote"/>
    <w:basedOn w:val="823"/>
    <w:next w:val="823"/>
    <w:link w:val="87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42">
    <w:name w:val="Intense Quote"/>
    <w:basedOn w:val="823"/>
    <w:next w:val="823"/>
    <w:link w:val="87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43">
    <w:name w:val="Index Heading"/>
    <w:basedOn w:val="898"/>
  </w:style>
  <w:style w:type="paragraph" w:styleId="944">
    <w:name w:val="TOC Heading"/>
    <w:basedOn w:val="824"/>
    <w:next w:val="823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945">
    <w:name w:val="E-mail Signature"/>
    <w:basedOn w:val="823"/>
    <w:link w:val="879"/>
    <w:uiPriority w:val="99"/>
    <w:unhideWhenUsed/>
    <w:qFormat/>
    <w:rPr>
      <w:rFonts w:eastAsia="Calibri"/>
      <w:sz w:val="24"/>
      <w:szCs w:val="24"/>
    </w:rPr>
  </w:style>
  <w:style w:type="paragraph" w:styleId="946" w:customStyle="1">
    <w:name w:val="Знак"/>
    <w:basedOn w:val="823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7" w:customStyle="1">
    <w:name w:val="Нумерованный список ур3"/>
    <w:basedOn w:val="82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48" w:customStyle="1">
    <w:name w:val="Нумерованный список 1"/>
    <w:basedOn w:val="823"/>
    <w:qFormat/>
    <w:pPr>
      <w:numPr>
        <w:ilvl w:val="0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49" w:customStyle="1">
    <w:name w:val="Нумерованный список ур2"/>
    <w:basedOn w:val="823"/>
    <w:qFormat/>
    <w:pPr>
      <w:numPr>
        <w:ilvl w:val="1"/>
        <w:numId w:val="2"/>
      </w:numPr>
      <w:jc w:val="both"/>
      <w:spacing w:before="120" w:after="0"/>
    </w:pPr>
    <w:rPr>
      <w:rFonts w:ascii="Garamond" w:hAnsi="Garamond"/>
      <w:sz w:val="24"/>
      <w:szCs w:val="20"/>
    </w:rPr>
  </w:style>
  <w:style w:type="paragraph" w:styleId="950">
    <w:name w:val="Revision"/>
    <w:uiPriority w:val="99"/>
    <w:semiHidden/>
    <w:qFormat/>
    <w:pPr>
      <w:jc w:val="left"/>
      <w:spacing w:before="0" w:after="0"/>
      <w:widowControl/>
    </w:pPr>
    <w:rPr>
      <w:rFonts w:ascii="Times New Roman" w:hAnsi="Times New Roman" w:eastAsia="Calibri" w:cs="Lohit Devanagari"/>
      <w:color w:val="auto"/>
      <w:sz w:val="24"/>
      <w:szCs w:val="24"/>
      <w:lang w:val="ru-RU" w:eastAsia="ru-RU" w:bidi="ar-SA"/>
    </w:rPr>
  </w:style>
  <w:style w:type="paragraph" w:styleId="951" w:customStyle="1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Arial"/>
      <w:color w:val="auto"/>
      <w:sz w:val="20"/>
      <w:szCs w:val="20"/>
      <w:lang w:val="ru-RU" w:eastAsia="ru-RU" w:bidi="ar-SA"/>
    </w:rPr>
  </w:style>
  <w:style w:type="paragraph" w:styleId="952" w:customStyle="1">
    <w:name w:val="Знак Знак3 Знак Знак"/>
    <w:basedOn w:val="823"/>
    <w:qFormat/>
    <w:pPr>
      <w:jc w:val="both"/>
      <w:spacing w:before="0"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53" w:customStyle="1">
    <w:name w:val="Пункт"/>
    <w:basedOn w:val="823"/>
    <w:qFormat/>
    <w:pPr>
      <w:ind w:left="1134" w:right="800" w:hanging="1134"/>
      <w:jc w:val="both"/>
      <w:spacing w:before="120" w:after="0" w:line="360" w:lineRule="auto"/>
      <w:widowControl w:val="off"/>
      <w:tabs>
        <w:tab w:val="clear" w:pos="708" w:leader="none"/>
        <w:tab w:val="left" w:pos="1134" w:leader="none"/>
      </w:tabs>
    </w:pPr>
    <w:rPr>
      <w:rFonts w:ascii="Arial" w:hAnsi="Arial"/>
      <w:b/>
      <w:i/>
      <w:szCs w:val="20"/>
    </w:rPr>
  </w:style>
  <w:style w:type="paragraph" w:styleId="954" w:customStyle="1">
    <w:name w:val="Абзац списка1"/>
    <w:basedOn w:val="823"/>
    <w:qFormat/>
    <w:pPr>
      <w:contextualSpacing/>
      <w:ind w:left="720"/>
      <w:spacing w:before="0"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955" w:customStyle="1">
    <w:name w:val="Таблица"/>
    <w:basedOn w:val="82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956" w:customStyle="1">
    <w:name w:val="Таблица шапка"/>
    <w:basedOn w:val="823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957" w:customStyle="1">
    <w:name w:val="Подподпункт"/>
    <w:basedOn w:val="922"/>
    <w:link w:val="886"/>
    <w:qFormat/>
    <w:pPr>
      <w:ind w:left="5104" w:hanging="567"/>
      <w:spacing w:before="120" w:after="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958" w:customStyle="1">
    <w:name w:val="УРОВЕНЬ_(а)"/>
    <w:basedOn w:val="940"/>
    <w:qFormat/>
    <w:pPr>
      <w:numPr>
        <w:ilvl w:val="3"/>
        <w:numId w:val="4"/>
      </w:numPr>
      <w:contextualSpacing w:val="0"/>
      <w:jc w:val="both"/>
      <w:spacing w:before="120" w:after="0" w:line="360" w:lineRule="exact"/>
      <w:outlineLvl w:val="3"/>
    </w:pPr>
    <w:rPr>
      <w:sz w:val="26"/>
      <w:szCs w:val="28"/>
      <w:lang w:eastAsia="en-US"/>
    </w:rPr>
  </w:style>
  <w:style w:type="paragraph" w:styleId="959" w:customStyle="1">
    <w:name w:val="УРОВЕНЬ_-"/>
    <w:basedOn w:val="940"/>
    <w:qFormat/>
    <w:pPr>
      <w:numPr>
        <w:ilvl w:val="4"/>
        <w:numId w:val="4"/>
      </w:numPr>
      <w:contextualSpacing w:val="0"/>
      <w:jc w:val="both"/>
      <w:spacing w:before="120" w:after="0" w:line="360" w:lineRule="exact"/>
      <w:outlineLvl w:val="4"/>
    </w:pPr>
    <w:rPr>
      <w:sz w:val="26"/>
      <w:szCs w:val="28"/>
      <w:lang w:eastAsia="en-US"/>
    </w:rPr>
  </w:style>
  <w:style w:type="paragraph" w:styleId="960" w:customStyle="1">
    <w:name w:val="УРОВЕНЬ_Абзац_тип2"/>
    <w:basedOn w:val="940"/>
    <w:qFormat/>
    <w:pPr>
      <w:numPr>
        <w:ilvl w:val="6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61" w:customStyle="1">
    <w:name w:val="УРОВЕНЬ_Абзац_тип3"/>
    <w:basedOn w:val="940"/>
    <w:link w:val="887"/>
    <w:qFormat/>
    <w:pPr>
      <w:numPr>
        <w:ilvl w:val="7"/>
        <w:numId w:val="4"/>
      </w:numPr>
      <w:contextualSpacing w:val="0"/>
      <w:jc w:val="both"/>
      <w:spacing w:before="120" w:after="0" w:line="360" w:lineRule="exact"/>
    </w:pPr>
    <w:rPr>
      <w:sz w:val="26"/>
      <w:szCs w:val="28"/>
      <w:lang w:eastAsia="en-US"/>
    </w:rPr>
  </w:style>
  <w:style w:type="paragraph" w:styleId="962" w:customStyle="1">
    <w:name w:val="УРОВЕНЬ_Подпись"/>
    <w:basedOn w:val="940"/>
    <w:qFormat/>
    <w:pPr>
      <w:numPr>
        <w:ilvl w:val="5"/>
        <w:numId w:val="4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963" w:customStyle="1">
    <w:name w:val="Стиль Заголовок 1 + по ширине"/>
    <w:basedOn w:val="824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  <w:tab w:val="clear" w:pos="708" w:leader="none"/>
      </w:tabs>
    </w:pPr>
    <w:rPr>
      <w:rFonts w:ascii="Arial" w:hAnsi="Arial" w:eastAsia="Times New Roman"/>
      <w:bCs/>
      <w:sz w:val="40"/>
      <w:szCs w:val="20"/>
    </w:rPr>
  </w:style>
  <w:style w:type="paragraph" w:styleId="964">
    <w:name w:val="endnote text"/>
    <w:basedOn w:val="823"/>
    <w:link w:val="890"/>
    <w:rPr>
      <w:sz w:val="20"/>
      <w:szCs w:val="20"/>
    </w:rPr>
  </w:style>
  <w:style w:type="paragraph" w:styleId="965" w:customStyle="1">
    <w:name w:val="Заголовок 2 КВВ"/>
    <w:basedOn w:val="823"/>
    <w:qFormat/>
    <w:pPr>
      <w:numPr>
        <w:ilvl w:val="0"/>
        <w:numId w:val="5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966" w:customStyle="1">
    <w:name w:val="Таблица текст"/>
    <w:basedOn w:val="823"/>
    <w:qFormat/>
    <w:pPr>
      <w:ind w:left="57" w:right="57"/>
      <w:spacing w:before="40" w:after="40"/>
    </w:pPr>
    <w:rPr>
      <w:sz w:val="24"/>
      <w:szCs w:val="26"/>
    </w:rPr>
  </w:style>
  <w:style w:type="paragraph" w:styleId="967">
    <w:name w:val="Normal (Web)"/>
    <w:basedOn w:val="82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968" w:customStyle="1">
    <w:name w:val="УРОВЕНЬ_1."/>
    <w:basedOn w:val="940"/>
    <w:link w:val="894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969">
    <w:name w:val="toc 6"/>
    <w:basedOn w:val="823"/>
    <w:next w:val="823"/>
    <w:unhideWhenUsed/>
    <w:pPr>
      <w:ind w:left="112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0">
    <w:name w:val="toc 7"/>
    <w:basedOn w:val="823"/>
    <w:next w:val="823"/>
    <w:unhideWhenUsed/>
    <w:pPr>
      <w:ind w:left="140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1">
    <w:name w:val="toc 8"/>
    <w:basedOn w:val="823"/>
    <w:next w:val="823"/>
    <w:unhideWhenUsed/>
    <w:pPr>
      <w:ind w:left="1680"/>
    </w:pPr>
    <w:rPr>
      <w:rFonts w:ascii="Calibri" w:hAnsi="Calibri" w:cs="Calibri" w:asciiTheme="minorHAnsi" w:hAnsiTheme="minorHAnsi" w:cstheme="minorHAnsi"/>
      <w:sz w:val="20"/>
      <w:szCs w:val="20"/>
    </w:rPr>
  </w:style>
  <w:style w:type="paragraph" w:styleId="972">
    <w:name w:val="Содержимое врезки"/>
    <w:basedOn w:val="823"/>
    <w:qFormat/>
  </w:style>
  <w:style w:type="numbering" w:styleId="973" w:default="1">
    <w:name w:val="No List"/>
    <w:uiPriority w:val="99"/>
    <w:semiHidden/>
    <w:unhideWhenUsed/>
    <w:qFormat/>
  </w:style>
  <w:style w:type="numbering" w:styleId="974" w:customStyle="1">
    <w:name w:val="Стиль1"/>
    <w:uiPriority w:val="99"/>
    <w:qFormat/>
  </w:style>
  <w:style w:type="numbering" w:styleId="975" w:customStyle="1">
    <w:name w:val="Стиль2"/>
    <w:uiPriority w:val="99"/>
    <w:qFormat/>
  </w:style>
  <w:style w:type="table" w:styleId="97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77" w:customStyle="1">
    <w:name w:val="Table Grid Light"/>
    <w:basedOn w:val="97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78">
    <w:name w:val="Plain Table 1"/>
    <w:basedOn w:val="97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79">
    <w:name w:val="Plain Table 2"/>
    <w:basedOn w:val="97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980">
    <w:name w:val="Plain Table 3"/>
    <w:basedOn w:val="97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981">
    <w:name w:val="Plain Table 4"/>
    <w:basedOn w:val="97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982">
    <w:name w:val="Plain Table 5"/>
    <w:basedOn w:val="976"/>
    <w:uiPriority w:val="99"/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83">
    <w:name w:val="Grid Table 1 Light"/>
    <w:basedOn w:val="97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4" w:customStyle="1">
    <w:name w:val="Grid Table 1 Light - Accent 1"/>
    <w:basedOn w:val="976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5" w:customStyle="1">
    <w:name w:val="Grid Table 1 Light - Accent 2"/>
    <w:basedOn w:val="97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6" w:customStyle="1">
    <w:name w:val="Grid Table 1 Light - Accent 3"/>
    <w:basedOn w:val="97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7" w:customStyle="1">
    <w:name w:val="Grid Table 1 Light - Accent 4"/>
    <w:basedOn w:val="97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8" w:customStyle="1">
    <w:name w:val="Grid Table 1 Light - Accent 5"/>
    <w:basedOn w:val="976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89" w:customStyle="1">
    <w:name w:val="Grid Table 1 Light - Accent 6"/>
    <w:basedOn w:val="97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990">
    <w:name w:val="Grid Table 2"/>
    <w:basedOn w:val="97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Grid Table 2 - Accent 1"/>
    <w:basedOn w:val="976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37DC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Grid Table 2 - Accent 2"/>
    <w:basedOn w:val="97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Grid Table 2 - Accent 3"/>
    <w:basedOn w:val="97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 w:customStyle="1">
    <w:name w:val="Grid Table 2 - Accent 4"/>
    <w:basedOn w:val="97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 w:customStyle="1">
    <w:name w:val="Grid Table 2 - Accent 5"/>
    <w:basedOn w:val="976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 w:customStyle="1">
    <w:name w:val="Grid Table 2 - Accent 6"/>
    <w:basedOn w:val="97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"/>
    <w:basedOn w:val="97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3 - Accent 1"/>
    <w:basedOn w:val="976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sz w:val="22"/>
      </w:rPr>
      <w:tcPr>
        <w:shd w:val="clear" w:color="d8e2f3" w:fill="d8e2f3" w:themeFill="accent1" w:themeFillTint="34"/>
      </w:tcPr>
    </w:tblStylePr>
    <w:tblStylePr w:type="band1Vert">
      <w:rPr>
        <w:sz w:val="22"/>
      </w:rPr>
      <w:tcPr>
        <w:shd w:val="clear" w:color="d8e2f3" w:fill="d8e2f3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3 - Accent 2"/>
    <w:basedOn w:val="976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3 - Accent 3"/>
    <w:basedOn w:val="976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3 - Accent 4"/>
    <w:basedOn w:val="976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3 - Accent 5"/>
    <w:basedOn w:val="976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Grid Table 3 - Accent 6"/>
    <w:basedOn w:val="976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Grid Table 4"/>
    <w:basedOn w:val="97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1005" w:customStyle="1">
    <w:name w:val="Grid Table 4 - Accent 1"/>
    <w:basedOn w:val="976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dae3f3" w:fill="dae3f3" w:themeFill="accent1" w:themeFillTint="32"/>
      </w:tcPr>
    </w:tblStylePr>
    <w:tblStylePr w:type="band1Vert">
      <w:rPr>
        <w:sz w:val="22"/>
      </w:rPr>
      <w:tcPr>
        <w:shd w:val="clear" w:color="dae3f3" w:fill="dae3f3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37dc8" w:fill="537dc8" w:themeFill="accent1" w:themeFillTint="EA"/>
        <w:tcBorders>
          <w:top w:val="single" w:color="537DC8" w:themeColor="accent1" w:sz="4" w:space="0"/>
          <w:left w:val="single" w:color="537DC8" w:themeColor="accent1" w:sz="4" w:space="0"/>
          <w:bottom w:val="single" w:color="537DC8" w:themeColor="accent1" w:sz="4" w:space="0"/>
          <w:right w:val="single" w:color="537DC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37DC8" w:themeColor="accent1" w:sz="4" w:space="0"/>
        </w:tcBorders>
      </w:tcPr>
    </w:tblStylePr>
  </w:style>
  <w:style w:type="table" w:styleId="1006" w:customStyle="1">
    <w:name w:val="Grid Table 4 - Accent 2"/>
    <w:basedOn w:val="976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1007" w:customStyle="1">
    <w:name w:val="Grid Table 4 - Accent 3"/>
    <w:basedOn w:val="976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1008" w:customStyle="1">
    <w:name w:val="Grid Table 4 - Accent 4"/>
    <w:basedOn w:val="976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1009" w:customStyle="1">
    <w:name w:val="Grid Table 4 - Accent 5"/>
    <w:basedOn w:val="976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deaf6" w:fill="ddeaf6" w:themeFill="accent5" w:themeFillTint="34"/>
      </w:tcPr>
    </w:tblStylePr>
    <w:tblStylePr w:type="band1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</w:style>
  <w:style w:type="table" w:styleId="1010" w:customStyle="1">
    <w:name w:val="Grid Table 4 - Accent 6"/>
    <w:basedOn w:val="976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1011">
    <w:name w:val="Grid Table 5 Dark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12" w:customStyle="1">
    <w:name w:val="Grid Table 5 Dark- Accent 1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sz w:val="22"/>
      </w:rPr>
      <w:tcPr>
        <w:shd w:val="clear" w:color="4472c4" w:fill="4472c4" w:themeFill="accent1"/>
      </w:tc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  <w:sz w:val="22"/>
      </w:rPr>
      <w:tcPr>
        <w:shd w:val="clear" w:color="4472c4" w:fill="4472c4" w:themeFill="accent1"/>
      </w:tcPr>
    </w:tblStylePr>
    <w:tblStylePr w:type="lastRow">
      <w:rPr>
        <w:b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1013" w:customStyle="1">
    <w:name w:val="Grid Table 5 Dark - Accent 2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14" w:customStyle="1">
    <w:name w:val="Grid Table 5 Dark - Accent 3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15" w:customStyle="1">
    <w:name w:val="Grid Table 5 Dark- Accent 4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16" w:customStyle="1">
    <w:name w:val="Grid Table 5 Dark - Accent 5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sz w:val="22"/>
      </w:rPr>
      <w:tcPr>
        <w:shd w:val="clear" w:color="5b9bd5" w:fill="5b9bd5" w:themeFill="accent5"/>
      </w:tc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  <w:sz w:val="22"/>
      </w:rPr>
      <w:tcPr>
        <w:shd w:val="clear" w:color="5b9bd5" w:fill="5b9bd5" w:themeFill="accent5"/>
      </w:tcPr>
    </w:tblStylePr>
    <w:tblStylePr w:type="lastRow">
      <w:rPr>
        <w:b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1017" w:customStyle="1">
    <w:name w:val="Grid Table 5 Dark - Accent 6"/>
    <w:basedOn w:val="97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18">
    <w:name w:val="Grid Table 6 Colorful"/>
    <w:basedOn w:val="97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1019" w:customStyle="1">
    <w:name w:val="Grid Table 6 Colorful - Accent 1"/>
    <w:basedOn w:val="976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A0B7E1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</w:style>
  <w:style w:type="table" w:styleId="1020" w:customStyle="1">
    <w:name w:val="Grid Table 6 Colorful - Accent 2"/>
    <w:basedOn w:val="97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1021" w:customStyle="1">
    <w:name w:val="Grid Table 6 Colorful - Accent 3"/>
    <w:basedOn w:val="976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1022" w:customStyle="1">
    <w:name w:val="Grid Table 6 Colorful - Accent 4"/>
    <w:basedOn w:val="97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1023" w:customStyle="1">
    <w:name w:val="Grid Table 6 Colorful - Accent 5"/>
    <w:basedOn w:val="976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24" w:customStyle="1">
    <w:name w:val="Grid Table 6 Colorful - Accent 6"/>
    <w:basedOn w:val="976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</w:style>
  <w:style w:type="table" w:styleId="1025">
    <w:name w:val="Grid Table 7 Colorful"/>
    <w:basedOn w:val="97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6" w:customStyle="1">
    <w:name w:val="Grid Table 7 Colorful - Accent 1"/>
    <w:basedOn w:val="976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sz="4" w:space="0"/>
          <w:right w:val="none" w:color="000000" w:sz="0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ffffff" w:fill="ffffff" w:themeFill="light1"/>
        <w:tcBorders>
          <w:top w:val="single" w:color="A0B7E1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7" w:customStyle="1">
    <w:name w:val="Grid Table 7 Colorful - Accent 2"/>
    <w:basedOn w:val="976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8" w:customStyle="1">
    <w:name w:val="Grid Table 7 Colorful - Accent 3"/>
    <w:basedOn w:val="976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sz="4" w:space="0"/>
          <w:right w:val="none" w:color="000000" w:sz="0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29" w:customStyle="1">
    <w:name w:val="Grid Table 7 Colorful - Accent 4"/>
    <w:basedOn w:val="976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0" w:customStyle="1">
    <w:name w:val="Grid Table 7 Colorful - Accent 5"/>
    <w:basedOn w:val="976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sz="4" w:space="0"/>
          <w:right w:val="none" w:color="000000" w:sz="0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ffffff" w:fill="ffffff" w:themeFill="light1"/>
        <w:tcBorders>
          <w:top w:val="single" w:color="A2C6E7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1" w:customStyle="1">
    <w:name w:val="Grid Table 7 Colorful - Accent 6"/>
    <w:basedOn w:val="976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sz="4" w:space="0"/>
          <w:right w:val="none" w:color="000000" w:sz="0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32">
    <w:name w:val="List Table 1 Light"/>
    <w:basedOn w:val="976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List Table 1 Light - Accent 1"/>
    <w:basedOn w:val="976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 w:customStyle="1">
    <w:name w:val="List Table 1 Light - Accent 2"/>
    <w:basedOn w:val="976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List Table 1 Light - Accent 3"/>
    <w:basedOn w:val="976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6" w:customStyle="1">
    <w:name w:val="List Table 1 Light - Accent 4"/>
    <w:basedOn w:val="976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7" w:customStyle="1">
    <w:name w:val="List Table 1 Light - Accent 5"/>
    <w:basedOn w:val="976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8" w:customStyle="1">
    <w:name w:val="List Table 1 Light - Accent 6"/>
    <w:basedOn w:val="976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>
    <w:name w:val="List Table 2"/>
    <w:basedOn w:val="97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1040" w:customStyle="1">
    <w:name w:val="List Table 2 - Accent 1"/>
    <w:basedOn w:val="976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1" w:sz="4" w:space="0"/>
          <w:left w:val="none" w:color="000000" w:sz="4" w:space="0"/>
          <w:bottom w:val="single" w:color="95AFDD" w:themeColor="accent1" w:sz="4" w:space="0"/>
          <w:right w:val="none" w:color="000000" w:sz="4" w:space="0"/>
        </w:tcBorders>
      </w:tcPr>
    </w:tblStylePr>
  </w:style>
  <w:style w:type="table" w:styleId="1041" w:customStyle="1">
    <w:name w:val="List Table 2 - Accent 2"/>
    <w:basedOn w:val="976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1042" w:customStyle="1">
    <w:name w:val="List Table 2 - Accent 3"/>
    <w:basedOn w:val="976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1043" w:customStyle="1">
    <w:name w:val="List Table 2 - Accent 4"/>
    <w:basedOn w:val="976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1044" w:customStyle="1">
    <w:name w:val="List Table 2 - Accent 5"/>
    <w:basedOn w:val="976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5" w:sz="4" w:space="0"/>
          <w:left w:val="none" w:color="000000" w:sz="4" w:space="0"/>
          <w:bottom w:val="single" w:color="A2C6E7" w:themeColor="accent5" w:sz="4" w:space="0"/>
          <w:right w:val="none" w:color="000000" w:sz="4" w:space="0"/>
        </w:tcBorders>
      </w:tcPr>
    </w:tblStylePr>
  </w:style>
  <w:style w:type="table" w:styleId="1045" w:customStyle="1">
    <w:name w:val="List Table 2 - Accent 6"/>
    <w:basedOn w:val="976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1046">
    <w:name w:val="List Table 3"/>
    <w:basedOn w:val="97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7" w:customStyle="1">
    <w:name w:val="List Table 3 - Accent 1"/>
    <w:basedOn w:val="976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8" w:customStyle="1">
    <w:name w:val="List Table 3 - Accent 2"/>
    <w:basedOn w:val="976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49" w:customStyle="1">
    <w:name w:val="List Table 3 - Accent 3"/>
    <w:basedOn w:val="976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0" w:customStyle="1">
    <w:name w:val="List Table 3 - Accent 4"/>
    <w:basedOn w:val="976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1" w:customStyle="1">
    <w:name w:val="List Table 3 - Accent 5"/>
    <w:basedOn w:val="976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sz w:val="22"/>
      </w:rPr>
      <w:tcPr>
        <w:tcBorders>
          <w:top w:val="single" w:color="9BC2E5" w:themeColor="accent5" w:sz="4" w:space="0"/>
          <w:bottom w:val="single" w:color="9BC2E5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BC2E5" w:themeColor="accent5" w:sz="4" w:space="0"/>
          <w:right w:val="single" w:color="9BC2E5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c2e5" w:fill="9bc2e5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2" w:customStyle="1">
    <w:name w:val="List Table 3 - Accent 6"/>
    <w:basedOn w:val="976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3">
    <w:name w:val="List Table 4"/>
    <w:basedOn w:val="97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4" w:customStyle="1">
    <w:name w:val="List Table 4 - Accent 1"/>
    <w:basedOn w:val="976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sz w:val="22"/>
      </w:rPr>
      <w:tcPr>
        <w:shd w:val="clear" w:color="cfdbf0" w:fill="cfdbf0" w:themeFill="accent1" w:themeFillTint="40"/>
      </w:tcPr>
    </w:tblStylePr>
    <w:tblStylePr w:type="band1Vert">
      <w:rPr>
        <w:sz w:val="22"/>
      </w:rPr>
      <w:tcPr>
        <w:shd w:val="clear" w:color="cfdbf0" w:fill="cfdbf0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5" w:customStyle="1">
    <w:name w:val="List Table 4 - Accent 2"/>
    <w:basedOn w:val="976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6" w:customStyle="1">
    <w:name w:val="List Table 4 - Accent 3"/>
    <w:basedOn w:val="976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7" w:customStyle="1">
    <w:name w:val="List Table 4 - Accent 4"/>
    <w:basedOn w:val="976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8" w:customStyle="1">
    <w:name w:val="List Table 4 - Accent 5"/>
    <w:basedOn w:val="976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sz w:val="22"/>
      </w:rPr>
      <w:tcPr>
        <w:shd w:val="clear" w:color="d5e5f4" w:fill="d5e5f4" w:themeFill="accent5" w:themeFillTint="40"/>
      </w:tcPr>
    </w:tblStylePr>
    <w:tblStylePr w:type="band1Vert">
      <w:rPr>
        <w:sz w:val="22"/>
      </w:rPr>
      <w:tcPr>
        <w:shd w:val="clear" w:color="d5e5f4" w:fill="d5e5f4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59" w:customStyle="1">
    <w:name w:val="List Table 4 - Accent 6"/>
    <w:basedOn w:val="976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1060">
    <w:name w:val="List Table 5 Dark"/>
    <w:basedOn w:val="97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1" w:customStyle="1">
    <w:name w:val="List Table 5 Dark - Accent 1"/>
    <w:basedOn w:val="976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2" w:customStyle="1">
    <w:name w:val="List Table 5 Dark - Accent 2"/>
    <w:basedOn w:val="976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3" w:customStyle="1">
    <w:name w:val="List Table 5 Dark - Accent 3"/>
    <w:basedOn w:val="976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4" w:customStyle="1">
    <w:name w:val="List Table 5 Dark - Accent 4"/>
    <w:basedOn w:val="976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5" w:customStyle="1">
    <w:name w:val="List Table 5 Dark - Accent 5"/>
    <w:basedOn w:val="976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C2E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9BC2E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6" w:customStyle="1">
    <w:name w:val="List Table 5 Dark - Accent 6"/>
    <w:basedOn w:val="976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067">
    <w:name w:val="List Table 6 Colorful"/>
    <w:basedOn w:val="97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1068" w:customStyle="1">
    <w:name w:val="List Table 6 Colorful - Accent 1"/>
    <w:basedOn w:val="976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1069" w:customStyle="1">
    <w:name w:val="List Table 6 Colorful - Accent 2"/>
    <w:basedOn w:val="976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1070" w:customStyle="1">
    <w:name w:val="List Table 6 Colorful - Accent 3"/>
    <w:basedOn w:val="976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1071" w:customStyle="1">
    <w:name w:val="List Table 6 Colorful - Accent 4"/>
    <w:basedOn w:val="976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1072" w:customStyle="1">
    <w:name w:val="List Table 6 Colorful - Accent 5"/>
    <w:basedOn w:val="976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9BC2E5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9BC2E5" w:themeColor="accent5" w:sz="4" w:space="0"/>
        </w:tcBorders>
      </w:tcPr>
    </w:tblStylePr>
  </w:style>
  <w:style w:type="table" w:styleId="1073" w:customStyle="1">
    <w:name w:val="List Table 6 Colorful - Accent 6"/>
    <w:basedOn w:val="976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1074">
    <w:name w:val="List Table 7 Colorful"/>
    <w:basedOn w:val="97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75" w:customStyle="1">
    <w:name w:val="List Table 7 Colorful - Accent 1"/>
    <w:basedOn w:val="976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76" w:customStyle="1">
    <w:name w:val="List Table 7 Colorful - Accent 2"/>
    <w:basedOn w:val="976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sz="4" w:space="0"/>
          <w:right w:val="none" w:color="000000" w:sz="0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77" w:customStyle="1">
    <w:name w:val="List Table 7 Colorful - Accent 3"/>
    <w:basedOn w:val="976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sz="4" w:space="0"/>
          <w:right w:val="none" w:color="000000" w:sz="0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78" w:customStyle="1">
    <w:name w:val="List Table 7 Colorful - Accent 4"/>
    <w:basedOn w:val="976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sz="4" w:space="0"/>
          <w:right w:val="none" w:color="000000" w:sz="0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79" w:customStyle="1">
    <w:name w:val="List Table 7 Colorful - Accent 5"/>
    <w:basedOn w:val="976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sz="4" w:space="0"/>
          <w:right w:val="none" w:color="000000" w:sz="0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ffffff" w:fill="ffffff" w:themeFill="light1"/>
        <w:tcBorders>
          <w:top w:val="single" w:color="9BC2E5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0" w:customStyle="1">
    <w:name w:val="List Table 7 Colorful - Accent 6"/>
    <w:basedOn w:val="976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sz="4" w:space="0"/>
          <w:right w:val="none" w:color="000000" w:sz="0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81" w:customStyle="1">
    <w:name w:val="Lined - Accent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82" w:customStyle="1">
    <w:name w:val="Lined - Accent 1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83" w:customStyle="1">
    <w:name w:val="Lined - Accent 2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084" w:customStyle="1">
    <w:name w:val="Lined - Accent 3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085" w:customStyle="1">
    <w:name w:val="Lined - Accent 4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086" w:customStyle="1">
    <w:name w:val="Lined - Accent 5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087" w:customStyle="1">
    <w:name w:val="Lined - Accent 6"/>
    <w:basedOn w:val="976"/>
    <w:uiPriority w:val="99"/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088" w:customStyle="1">
    <w:name w:val="Bordered &amp; Lined - Accent"/>
    <w:basedOn w:val="976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1089" w:customStyle="1">
    <w:name w:val="Bordered &amp; Lined - Accent 1"/>
    <w:basedOn w:val="976"/>
    <w:uiPriority w:val="99"/>
    <w:tblPr>
      <w:tblStyleRowBandSize w:val="1"/>
      <w:tblStyleColBandSize w:val="1"/>
      <w:tblBorders>
        <w:top w:val="single" w:color="254175" w:themeColor="accent1" w:sz="4" w:space="0"/>
        <w:left w:val="single" w:color="254175" w:themeColor="accent1" w:sz="4" w:space="0"/>
        <w:bottom w:val="single" w:color="254175" w:themeColor="accent1" w:sz="4" w:space="0"/>
        <w:right w:val="single" w:color="254175" w:themeColor="accent1" w:sz="4" w:space="0"/>
        <w:insideH w:val="single" w:color="254175" w:themeColor="accent1" w:sz="4" w:space="0"/>
        <w:insideV w:val="single" w:color="254175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4d2ec" w:fill="c4d2ec" w:themeFill="accent1" w:themeFillTint="50"/>
      </w:tcPr>
    </w:tblStylePr>
    <w:tblStylePr w:type="band2Vert">
      <w:rPr>
        <w:sz w:val="22"/>
      </w:rPr>
      <w:tcPr>
        <w:shd w:val="clear" w:color="c4d2ec" w:fill="c4d2ec" w:themeFill="accent1" w:themeFillTint="50"/>
      </w:tcPr>
    </w:tblStylePr>
    <w:tblStylePr w:type="firstCol">
      <w:rPr>
        <w:sz w:val="22"/>
      </w:rPr>
      <w:tcPr>
        <w:shd w:val="clear" w:color="537dc8" w:fill="537dc8" w:themeFill="accent1" w:themeFillTint="EA"/>
      </w:tcPr>
    </w:tblStylePr>
    <w:tblStylePr w:type="firstRow">
      <w:rPr>
        <w:sz w:val="22"/>
      </w:rPr>
      <w:tcPr>
        <w:shd w:val="clear" w:color="537dc8" w:fill="537dc8" w:themeFill="accent1" w:themeFillTint="EA"/>
      </w:tcPr>
    </w:tblStylePr>
    <w:tblStylePr w:type="lastCol">
      <w:rPr>
        <w:sz w:val="22"/>
      </w:rPr>
      <w:tcPr>
        <w:shd w:val="clear" w:color="537dc8" w:fill="537dc8" w:themeFill="accent1" w:themeFillTint="EA"/>
      </w:tcPr>
    </w:tblStylePr>
    <w:tblStylePr w:type="lastRow">
      <w:rPr>
        <w:sz w:val="22"/>
      </w:rPr>
      <w:tcPr>
        <w:shd w:val="clear" w:color="537dc8" w:fill="537dc8" w:themeFill="accent1" w:themeFillTint="EA"/>
      </w:tcPr>
    </w:tblStylePr>
  </w:style>
  <w:style w:type="table" w:styleId="1090" w:customStyle="1">
    <w:name w:val="Bordered &amp; Lined - Accent 2"/>
    <w:basedOn w:val="976"/>
    <w:uiPriority w:val="99"/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1091" w:customStyle="1">
    <w:name w:val="Bordered &amp; Lined - Accent 3"/>
    <w:basedOn w:val="976"/>
    <w:uiPriority w:val="99"/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1092" w:customStyle="1">
    <w:name w:val="Bordered &amp; Lined - Accent 4"/>
    <w:basedOn w:val="976"/>
    <w:uiPriority w:val="99"/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1093" w:customStyle="1">
    <w:name w:val="Bordered &amp; Lined - Accent 5"/>
    <w:basedOn w:val="976"/>
    <w:uiPriority w:val="99"/>
    <w:tblPr>
      <w:tblStyleRowBandSize w:val="1"/>
      <w:tblStyleColBandSize w:val="1"/>
      <w:tblBorders>
        <w:top w:val="single" w:color="245A8D" w:themeColor="accent5" w:sz="4" w:space="0"/>
        <w:left w:val="single" w:color="245A8D" w:themeColor="accent5" w:sz="4" w:space="0"/>
        <w:bottom w:val="single" w:color="245A8D" w:themeColor="accent5" w:sz="4" w:space="0"/>
        <w:right w:val="single" w:color="245A8D" w:themeColor="accent5" w:sz="4" w:space="0"/>
        <w:insideH w:val="single" w:color="245A8D" w:themeColor="accent5" w:sz="4" w:space="0"/>
        <w:insideV w:val="single" w:color="245A8D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deaf6" w:fill="ddeaf6" w:themeFill="accent5" w:themeFillTint="34"/>
      </w:tcPr>
    </w:tblStylePr>
    <w:tblStylePr w:type="band2Vert">
      <w:rPr>
        <w:sz w:val="22"/>
      </w:rPr>
      <w:tcPr>
        <w:shd w:val="clear" w:color="ddeaf6" w:fill="ddeaf6" w:themeFill="accent5" w:themeFillTint="34"/>
      </w:tcPr>
    </w:tblStylePr>
    <w:tblStylePr w:type="firstCol">
      <w:rPr>
        <w:sz w:val="22"/>
      </w:rPr>
      <w:tcPr>
        <w:shd w:val="clear" w:color="5b9bd5" w:fill="5b9bd5" w:themeFill="accent5"/>
      </w:tcPr>
    </w:tblStylePr>
    <w:tblStylePr w:type="firstRow">
      <w:rPr>
        <w:sz w:val="22"/>
      </w:rPr>
      <w:tcPr>
        <w:shd w:val="clear" w:color="5b9bd5" w:fill="5b9bd5" w:themeFill="accent5"/>
      </w:tcPr>
    </w:tblStylePr>
    <w:tblStylePr w:type="lastCol">
      <w:rPr>
        <w:sz w:val="22"/>
      </w:rPr>
      <w:tcPr>
        <w:shd w:val="clear" w:color="5b9bd5" w:fill="5b9bd5" w:themeFill="accent5"/>
      </w:tcPr>
    </w:tblStylePr>
    <w:tblStylePr w:type="lastRow">
      <w:rPr>
        <w:sz w:val="22"/>
      </w:rPr>
      <w:tcPr>
        <w:shd w:val="clear" w:color="5b9bd5" w:fill="5b9bd5" w:themeFill="accent5"/>
      </w:tcPr>
    </w:tblStylePr>
  </w:style>
  <w:style w:type="table" w:styleId="1094" w:customStyle="1">
    <w:name w:val="Bordered &amp; Lined - Accent 6"/>
    <w:basedOn w:val="976"/>
    <w:uiPriority w:val="99"/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1095" w:customStyle="1">
    <w:name w:val="Bordered"/>
    <w:basedOn w:val="97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1096" w:customStyle="1">
    <w:name w:val="Bordered - Accent 1"/>
    <w:basedOn w:val="976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sz w:val="22"/>
      </w:rPr>
      <w:tcPr>
        <w:tcBorders>
          <w:top w:val="single" w:color="B3C5E7" w:themeColor="accent1" w:sz="4" w:space="0"/>
          <w:left w:val="single" w:color="B3C5E7" w:themeColor="accent1" w:sz="4" w:space="0"/>
          <w:bottom w:val="single" w:color="B3C5E7" w:themeColor="accent1" w:sz="4" w:space="0"/>
          <w:right w:val="single" w:color="B3C5E7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1097" w:customStyle="1">
    <w:name w:val="Bordered - Accent 2"/>
    <w:basedOn w:val="976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1098" w:customStyle="1">
    <w:name w:val="Bordered - Accent 3"/>
    <w:basedOn w:val="976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1099" w:customStyle="1">
    <w:name w:val="Bordered - Accent 4"/>
    <w:basedOn w:val="976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100" w:customStyle="1">
    <w:name w:val="Bordered - Accent 5"/>
    <w:basedOn w:val="976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sz w:val="22"/>
      </w:rPr>
      <w:tcPr>
        <w:tcBorders>
          <w:top w:val="single" w:color="BCD6EE" w:themeColor="accent5" w:sz="4" w:space="0"/>
          <w:left w:val="single" w:color="BCD6EE" w:themeColor="accent5" w:sz="4" w:space="0"/>
          <w:bottom w:val="single" w:color="BCD6EE" w:themeColor="accent5" w:sz="4" w:space="0"/>
          <w:right w:val="single" w:color="BCD6EE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C2E5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BC2E5" w:themeColor="accent5" w:sz="12" w:space="0"/>
        </w:tcBorders>
      </w:tcPr>
    </w:tblStylePr>
    <w:tblStylePr w:type="lastRow">
      <w:rPr>
        <w:sz w:val="22"/>
      </w:rPr>
      <w:tcPr>
        <w:tcBorders>
          <w:top w:val="single" w:color="9BC2E5" w:themeColor="accent5" w:sz="12" w:space="0"/>
        </w:tcBorders>
      </w:tcPr>
    </w:tblStylePr>
  </w:style>
  <w:style w:type="table" w:styleId="1101" w:customStyle="1">
    <w:name w:val="Bordered - Accent 6"/>
    <w:basedOn w:val="976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102">
    <w:name w:val="Table Grid"/>
    <w:basedOn w:val="976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03" w:customStyle="1">
    <w:name w:val="Сетка таблицы1"/>
    <w:basedOn w:val="97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4" w:customStyle="1">
    <w:name w:val="Абзац списка;Алроса_маркер (Уровень 4);Маркер;ПАРАГРАФ;Абзац списка2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Lohit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Relationship Id="rId17" Type="http://schemas.openxmlformats.org/officeDocument/2006/relationships/hyperlink" Target="https://docs.cntd.ru/document/573068704" TargetMode="External"/><Relationship Id="rId18" Type="http://schemas.openxmlformats.org/officeDocument/2006/relationships/hyperlink" Target="https://docs.cntd.ru/document/57311469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9E01-4DBF-4204-97F4-D069CC56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dc:language>ru-RU</dc:language>
  <cp:lastModifiedBy>evstratenko_av</cp:lastModifiedBy>
  <cp:revision>99</cp:revision>
  <dcterms:created xsi:type="dcterms:W3CDTF">2021-04-04T09:36:00Z</dcterms:created>
  <dcterms:modified xsi:type="dcterms:W3CDTF">2026-04-02T05:58:47Z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